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אליה נוס</w:t>
                </w:r>
              </w:sdtContent>
            </w:sdt>
          </w:p>
          <w:p w:rsidR="006816EC" w:rsidRPr="006816EC" w:rsidRDefault="006816EC" w:rsidP="006816EC"/>
        </w:tc>
      </w:tr>
      <w:tr w:rsidR="006816EC" w:rsidTr="006816EC">
        <w:trPr>
          <w:jc w:val="center"/>
        </w:trPr>
        <w:tc>
          <w:tcPr>
            <w:tcW w:w="3249" w:type="dxa"/>
            <w:gridSpan w:val="2"/>
          </w:tcPr>
          <w:p w:rsidR="006816EC" w:rsidRPr="005075CF" w:rsidRDefault="006816EC">
            <w:pPr>
              <w:bidi w:val="0"/>
              <w:rPr>
                <w:rFonts w:ascii="Arial (W1)" w:hAnsi="Arial (W1)"/>
                <w:b/>
                <w:bCs/>
                <w:noProof w:val="0"/>
                <w:sz w:val="26"/>
                <w:szCs w:val="26"/>
                <w:rtl/>
              </w:rPr>
            </w:pPr>
          </w:p>
          <w:sdt>
            <w:sdtPr>
              <w:rPr>
                <w:rFonts w:hint="cs"/>
                <w:b/>
                <w:bCs/>
                <w:sz w:val="26"/>
                <w:szCs w:val="26"/>
                <w:rtl/>
              </w:rPr>
              <w:alias w:val="1180"/>
              <w:tag w:val="1180"/>
              <w:id w:val="-803768281"/>
              <w:text w:multiLine="1"/>
            </w:sdtPr>
            <w:sdtEndPr/>
            <w:sdtContent>
              <w:p w:rsidR="002E2062" w:rsidRPr="005075CF" w:rsidRDefault="005075CF" w:rsidP="005075CF">
                <w:pPr>
                  <w:rPr>
                    <w:rFonts w:ascii="Arial (W1)" w:hAnsi="Arial (W1)"/>
                    <w:b/>
                    <w:bCs/>
                    <w:noProof w:val="0"/>
                    <w:sz w:val="26"/>
                    <w:szCs w:val="26"/>
                  </w:rPr>
                </w:pPr>
                <w:r>
                  <w:rPr>
                    <w:rFonts w:hint="cs"/>
                    <w:b/>
                    <w:bCs/>
                    <w:sz w:val="26"/>
                    <w:szCs w:val="26"/>
                    <w:rtl/>
                  </w:rPr>
                  <w:t>תובעת/נתבעת</w:t>
                </w:r>
              </w:p>
            </w:sdtContent>
          </w:sdt>
        </w:tc>
        <w:tc>
          <w:tcPr>
            <w:tcW w:w="5571" w:type="dxa"/>
          </w:tcPr>
          <w:p w:rsidR="006816EC" w:rsidRDefault="006816EC">
            <w:pPr>
              <w:rPr>
                <w:rFonts w:ascii="Arial (W1)" w:hAnsi="Arial (W1)"/>
                <w:b/>
                <w:bCs/>
                <w:noProof w:val="0"/>
                <w:sz w:val="28"/>
                <w:szCs w:val="28"/>
                <w:rtl/>
              </w:rPr>
            </w:pPr>
          </w:p>
          <w:p w:rsidR="006816EC" w:rsidRDefault="00F6623E">
            <w:pPr>
              <w:rPr>
                <w:rFonts w:ascii="Arial (W1)" w:hAnsi="Arial (W1)"/>
                <w:b/>
                <w:bCs/>
                <w:noProof w:val="0"/>
                <w:sz w:val="28"/>
                <w:szCs w:val="28"/>
              </w:rPr>
            </w:pPr>
            <w:r>
              <w:rPr>
                <w:b/>
                <w:bCs/>
                <w:noProof w:val="0"/>
                <w:sz w:val="28"/>
                <w:rtl/>
              </w:rPr>
              <w:tab/>
            </w:r>
            <w:r>
              <w:rPr>
                <w:rFonts w:hint="cs"/>
                <w:b/>
                <w:bCs/>
                <w:noProof w:val="0"/>
                <w:sz w:val="28"/>
                <w:rtl/>
              </w:rPr>
              <w:t>פלונית</w:t>
            </w:r>
          </w:p>
        </w:tc>
      </w:tr>
      <w:tr w:rsidR="006816EC" w:rsidTr="006816EC">
        <w:trPr>
          <w:jc w:val="center"/>
        </w:trPr>
        <w:tc>
          <w:tcPr>
            <w:tcW w:w="8820" w:type="dxa"/>
            <w:gridSpan w:val="3"/>
          </w:tcPr>
          <w:p w:rsidR="006816EC" w:rsidRPr="005075CF" w:rsidRDefault="006816EC">
            <w:pPr>
              <w:rPr>
                <w:rFonts w:ascii="Arial (W1)" w:hAnsi="Arial (W1)"/>
                <w:b/>
                <w:bCs/>
                <w:noProof w:val="0"/>
                <w:sz w:val="26"/>
                <w:szCs w:val="26"/>
                <w:rtl/>
              </w:rPr>
            </w:pPr>
          </w:p>
          <w:p w:rsidR="005075CF" w:rsidRDefault="005075CF">
            <w:pPr>
              <w:jc w:val="center"/>
              <w:rPr>
                <w:b/>
                <w:bCs/>
                <w:noProof w:val="0"/>
                <w:sz w:val="26"/>
                <w:szCs w:val="26"/>
                <w:rtl/>
              </w:rPr>
            </w:pPr>
          </w:p>
          <w:p w:rsidR="006816EC" w:rsidRPr="005075CF" w:rsidRDefault="006816EC">
            <w:pPr>
              <w:jc w:val="center"/>
              <w:rPr>
                <w:b/>
                <w:bCs/>
                <w:noProof w:val="0"/>
                <w:sz w:val="26"/>
                <w:szCs w:val="26"/>
                <w:rtl/>
              </w:rPr>
            </w:pPr>
            <w:r w:rsidRPr="005075CF">
              <w:rPr>
                <w:rFonts w:hint="cs"/>
                <w:b/>
                <w:bCs/>
                <w:noProof w:val="0"/>
                <w:sz w:val="26"/>
                <w:szCs w:val="26"/>
                <w:rtl/>
              </w:rPr>
              <w:t>נגד</w:t>
            </w:r>
          </w:p>
          <w:p w:rsidR="006816EC" w:rsidRPr="005075CF" w:rsidRDefault="006816EC">
            <w:pPr>
              <w:rPr>
                <w:rFonts w:ascii="Arial (W1)" w:hAnsi="Arial (W1)"/>
                <w:b/>
                <w:bCs/>
                <w:noProof w:val="0"/>
                <w:sz w:val="26"/>
                <w:szCs w:val="26"/>
              </w:rPr>
            </w:pPr>
          </w:p>
        </w:tc>
      </w:tr>
      <w:tr w:rsidR="006816EC" w:rsidTr="005075CF">
        <w:trPr>
          <w:trHeight w:val="831"/>
          <w:jc w:val="center"/>
        </w:trPr>
        <w:tc>
          <w:tcPr>
            <w:tcW w:w="3249" w:type="dxa"/>
            <w:gridSpan w:val="2"/>
          </w:tcPr>
          <w:p w:rsidR="006816EC" w:rsidRPr="005075CF" w:rsidRDefault="006816EC">
            <w:pPr>
              <w:rPr>
                <w:rFonts w:ascii="Arial (W1)" w:hAnsi="Arial (W1)"/>
                <w:b/>
                <w:bCs/>
                <w:noProof w:val="0"/>
                <w:sz w:val="26"/>
                <w:szCs w:val="26"/>
                <w:rtl/>
              </w:rPr>
            </w:pPr>
          </w:p>
          <w:p w:rsidR="006816EC" w:rsidRPr="005075CF" w:rsidRDefault="00BF6EA5" w:rsidP="005075CF">
            <w:pPr>
              <w:rPr>
                <w:rFonts w:ascii="David" w:hAnsi="David"/>
                <w:b/>
                <w:bCs/>
                <w:noProof w:val="0"/>
                <w:sz w:val="26"/>
                <w:szCs w:val="26"/>
              </w:rPr>
            </w:pPr>
            <w:sdt>
              <w:sdtPr>
                <w:rPr>
                  <w:rFonts w:hint="cs"/>
                  <w:b/>
                  <w:bCs/>
                  <w:sz w:val="26"/>
                  <w:szCs w:val="26"/>
                  <w:rtl/>
                </w:rPr>
                <w:alias w:val="1184"/>
                <w:tag w:val="1184"/>
                <w:id w:val="-910234160"/>
                <w:text w:multiLine="1"/>
              </w:sdtPr>
              <w:sdtEndPr/>
              <w:sdtContent>
                <w:r w:rsidR="005075CF">
                  <w:rPr>
                    <w:rFonts w:hint="cs"/>
                    <w:b/>
                    <w:bCs/>
                    <w:sz w:val="26"/>
                    <w:szCs w:val="26"/>
                    <w:rtl/>
                  </w:rPr>
                  <w:t>נתבע/תובע</w:t>
                </w:r>
                <w:r w:rsidR="005075CF" w:rsidRPr="005075CF">
                  <w:rPr>
                    <w:rFonts w:hint="cs"/>
                    <w:b/>
                    <w:bCs/>
                    <w:sz w:val="26"/>
                    <w:szCs w:val="26"/>
                    <w:rtl/>
                  </w:rPr>
                  <w:t xml:space="preserve"> </w:t>
                </w:r>
              </w:sdtContent>
            </w:sdt>
          </w:p>
        </w:tc>
        <w:tc>
          <w:tcPr>
            <w:tcW w:w="5571" w:type="dxa"/>
          </w:tcPr>
          <w:p w:rsidR="006816EC" w:rsidRDefault="006816EC">
            <w:pPr>
              <w:rPr>
                <w:rFonts w:ascii="Arial (W1)" w:hAnsi="Arial (W1)"/>
                <w:b/>
                <w:bCs/>
                <w:noProof w:val="0"/>
                <w:sz w:val="28"/>
                <w:szCs w:val="28"/>
                <w:rtl/>
              </w:rPr>
            </w:pPr>
          </w:p>
          <w:p w:rsidR="006816EC" w:rsidRDefault="00F6623E">
            <w:pPr>
              <w:rPr>
                <w:rFonts w:ascii="Arial (W1)" w:hAnsi="Arial (W1)"/>
                <w:b/>
                <w:bCs/>
                <w:noProof w:val="0"/>
                <w:sz w:val="28"/>
                <w:szCs w:val="28"/>
              </w:rPr>
            </w:pPr>
            <w:r>
              <w:rPr>
                <w:b/>
                <w:bCs/>
                <w:noProof w:val="0"/>
                <w:sz w:val="28"/>
                <w:rtl/>
              </w:rPr>
              <w:tab/>
            </w:r>
            <w:r>
              <w:rPr>
                <w:rFonts w:hint="cs"/>
                <w:b/>
                <w:bCs/>
                <w:noProof w:val="0"/>
                <w:sz w:val="28"/>
                <w:rtl/>
              </w:rPr>
              <w:t>אלמוני</w:t>
            </w:r>
          </w:p>
        </w:tc>
      </w:tr>
      <w:tr w:rsidR="00D36A71" w:rsidTr="00A94B1C">
        <w:trPr>
          <w:jc w:val="center"/>
        </w:trPr>
        <w:tc>
          <w:tcPr>
            <w:tcW w:w="8820" w:type="dxa"/>
            <w:gridSpan w:val="3"/>
          </w:tcPr>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2E2062" w:rsidRDefault="002E2062">
            <w:pPr>
              <w:rPr>
                <w:rFonts w:ascii="David" w:eastAsia="David" w:hAnsi="David"/>
                <w:noProof w:val="0"/>
              </w:rPr>
            </w:pPr>
          </w:p>
        </w:tc>
        <w:tc>
          <w:tcPr>
            <w:tcW w:w="5571" w:type="dxa"/>
          </w:tcPr>
          <w:p w:rsidR="002E2062" w:rsidRDefault="002E2062">
            <w:pPr>
              <w:rPr>
                <w:rFonts w:cs="Times New Roman"/>
              </w:rPr>
            </w:pPr>
          </w:p>
        </w:tc>
      </w:tr>
      <w:tr w:rsidR="00694556">
        <w:trPr>
          <w:jc w:val="center"/>
        </w:trPr>
        <w:tc>
          <w:tcPr>
            <w:tcW w:w="8820" w:type="dxa"/>
            <w:gridSpan w:val="3"/>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Pr="005075CF" w:rsidRDefault="00694556" w:rsidP="00B81E92">
      <w:pPr>
        <w:spacing w:line="360" w:lineRule="auto"/>
        <w:jc w:val="both"/>
        <w:rPr>
          <w:rFonts w:ascii="Arial" w:hAnsi="Arial"/>
          <w:noProof w:val="0"/>
          <w:sz w:val="26"/>
          <w:szCs w:val="26"/>
          <w:rtl/>
        </w:rPr>
      </w:pPr>
    </w:p>
    <w:p w:rsidR="005075CF" w:rsidRPr="005075CF" w:rsidRDefault="005075CF" w:rsidP="00B81E92">
      <w:pPr>
        <w:spacing w:line="360" w:lineRule="auto"/>
        <w:ind w:firstLine="360"/>
        <w:jc w:val="both"/>
        <w:rPr>
          <w:bCs/>
          <w:sz w:val="26"/>
          <w:szCs w:val="26"/>
          <w:u w:val="single"/>
          <w:rtl/>
        </w:rPr>
      </w:pPr>
      <w:r w:rsidRPr="005075CF">
        <w:rPr>
          <w:bCs/>
          <w:sz w:val="26"/>
          <w:szCs w:val="26"/>
          <w:u w:val="single"/>
          <w:rtl/>
        </w:rPr>
        <w:t>רקע וטענות הצדדים</w:t>
      </w:r>
    </w:p>
    <w:p w:rsidR="005075CF" w:rsidRDefault="005075CF" w:rsidP="00F6623E">
      <w:pPr>
        <w:pStyle w:val="ad"/>
        <w:numPr>
          <w:ilvl w:val="0"/>
          <w:numId w:val="1"/>
        </w:numPr>
        <w:spacing w:line="360" w:lineRule="auto"/>
        <w:jc w:val="both"/>
        <w:rPr>
          <w:b/>
          <w:sz w:val="26"/>
          <w:szCs w:val="26"/>
          <w:rtl/>
        </w:rPr>
      </w:pPr>
      <w:r>
        <w:rPr>
          <w:sz w:val="26"/>
          <w:szCs w:val="26"/>
          <w:rtl/>
        </w:rPr>
        <w:t xml:space="preserve">הצדדים נישאו זה לזה ב- </w:t>
      </w:r>
      <w:r w:rsidR="00F6623E">
        <w:rPr>
          <w:rFonts w:hint="cs"/>
          <w:sz w:val="26"/>
          <w:szCs w:val="26"/>
          <w:rtl/>
        </w:rPr>
        <w:t>2011</w:t>
      </w:r>
      <w:r>
        <w:rPr>
          <w:sz w:val="26"/>
          <w:szCs w:val="26"/>
          <w:rtl/>
        </w:rPr>
        <w:t xml:space="preserve"> ולהם שלושה ילדים: </w:t>
      </w:r>
    </w:p>
    <w:p w:rsidR="005075CF" w:rsidRDefault="00F6623E" w:rsidP="00F6623E">
      <w:pPr>
        <w:spacing w:line="360" w:lineRule="auto"/>
        <w:ind w:firstLine="720"/>
        <w:jc w:val="both"/>
        <w:rPr>
          <w:sz w:val="26"/>
          <w:szCs w:val="26"/>
        </w:rPr>
      </w:pPr>
      <w:r>
        <w:rPr>
          <w:rFonts w:hint="cs"/>
          <w:sz w:val="26"/>
          <w:szCs w:val="26"/>
          <w:rtl/>
        </w:rPr>
        <w:t>א.י</w:t>
      </w:r>
      <w:r w:rsidR="005075CF">
        <w:rPr>
          <w:sz w:val="26"/>
          <w:szCs w:val="26"/>
          <w:rtl/>
        </w:rPr>
        <w:t xml:space="preserve"> יליד </w:t>
      </w:r>
      <w:r>
        <w:rPr>
          <w:rFonts w:hint="cs"/>
          <w:sz w:val="26"/>
          <w:szCs w:val="26"/>
          <w:rtl/>
        </w:rPr>
        <w:t>2011</w:t>
      </w:r>
      <w:r w:rsidR="005075CF">
        <w:rPr>
          <w:sz w:val="26"/>
          <w:szCs w:val="26"/>
          <w:rtl/>
        </w:rPr>
        <w:t xml:space="preserve">, </w:t>
      </w:r>
    </w:p>
    <w:p w:rsidR="005075CF" w:rsidRDefault="00F6623E" w:rsidP="00F6623E">
      <w:pPr>
        <w:spacing w:line="360" w:lineRule="auto"/>
        <w:ind w:firstLine="720"/>
        <w:jc w:val="both"/>
        <w:rPr>
          <w:sz w:val="26"/>
          <w:szCs w:val="26"/>
          <w:rtl/>
        </w:rPr>
      </w:pPr>
      <w:r>
        <w:rPr>
          <w:rFonts w:hint="cs"/>
          <w:sz w:val="26"/>
          <w:szCs w:val="26"/>
          <w:rtl/>
        </w:rPr>
        <w:t>ל.מ</w:t>
      </w:r>
      <w:r w:rsidR="005075CF">
        <w:rPr>
          <w:sz w:val="26"/>
          <w:szCs w:val="26"/>
          <w:rtl/>
        </w:rPr>
        <w:t xml:space="preserve"> יליד </w:t>
      </w:r>
      <w:r>
        <w:rPr>
          <w:rFonts w:hint="cs"/>
          <w:sz w:val="26"/>
          <w:szCs w:val="26"/>
          <w:rtl/>
        </w:rPr>
        <w:t>2016</w:t>
      </w:r>
    </w:p>
    <w:p w:rsidR="005075CF" w:rsidRDefault="00F6623E" w:rsidP="00F6623E">
      <w:pPr>
        <w:spacing w:line="360" w:lineRule="auto"/>
        <w:ind w:firstLine="720"/>
        <w:jc w:val="both"/>
        <w:rPr>
          <w:b/>
          <w:sz w:val="26"/>
          <w:szCs w:val="26"/>
          <w:rtl/>
        </w:rPr>
      </w:pPr>
      <w:r>
        <w:rPr>
          <w:rFonts w:hint="cs"/>
          <w:sz w:val="26"/>
          <w:szCs w:val="26"/>
          <w:rtl/>
        </w:rPr>
        <w:t>א</w:t>
      </w:r>
      <w:r w:rsidR="005075CF">
        <w:rPr>
          <w:sz w:val="26"/>
          <w:szCs w:val="26"/>
          <w:rtl/>
        </w:rPr>
        <w:t xml:space="preserve">  ילידת </w:t>
      </w:r>
      <w:r>
        <w:rPr>
          <w:rFonts w:hint="cs"/>
          <w:sz w:val="26"/>
          <w:szCs w:val="26"/>
          <w:rtl/>
        </w:rPr>
        <w:t>2018</w:t>
      </w:r>
      <w:r w:rsidR="005075CF">
        <w:rPr>
          <w:sz w:val="26"/>
          <w:szCs w:val="26"/>
          <w:rtl/>
        </w:rPr>
        <w:t xml:space="preserve">. </w:t>
      </w:r>
      <w:r w:rsidR="005075CF">
        <w:rPr>
          <w:b/>
          <w:sz w:val="26"/>
          <w:szCs w:val="26"/>
          <w:rtl/>
        </w:rPr>
        <w:t xml:space="preserve"> </w:t>
      </w:r>
    </w:p>
    <w:p w:rsidR="005075CF" w:rsidRDefault="005075CF" w:rsidP="00B81E92">
      <w:pPr>
        <w:spacing w:line="360" w:lineRule="auto"/>
        <w:ind w:firstLine="720"/>
        <w:jc w:val="both"/>
        <w:rPr>
          <w:b/>
          <w:sz w:val="26"/>
          <w:szCs w:val="26"/>
          <w:rtl/>
        </w:rPr>
      </w:pPr>
      <w:r>
        <w:rPr>
          <w:sz w:val="26"/>
          <w:szCs w:val="26"/>
          <w:rtl/>
        </w:rPr>
        <w:t xml:space="preserve">הצדדים התגרשו זה מזה בחודש  2/20. </w:t>
      </w:r>
    </w:p>
    <w:p w:rsidR="005075CF" w:rsidRDefault="005075CF" w:rsidP="00B81E92">
      <w:pPr>
        <w:pStyle w:val="ad"/>
        <w:spacing w:line="360" w:lineRule="auto"/>
        <w:ind w:left="1080"/>
        <w:jc w:val="both"/>
        <w:rPr>
          <w:sz w:val="26"/>
          <w:szCs w:val="26"/>
        </w:rPr>
      </w:pPr>
    </w:p>
    <w:p w:rsidR="005075CF" w:rsidRDefault="005075CF" w:rsidP="00B81E92">
      <w:pPr>
        <w:pStyle w:val="ad"/>
        <w:numPr>
          <w:ilvl w:val="0"/>
          <w:numId w:val="1"/>
        </w:numPr>
        <w:spacing w:line="360" w:lineRule="auto"/>
        <w:jc w:val="both"/>
        <w:rPr>
          <w:sz w:val="26"/>
          <w:szCs w:val="26"/>
          <w:rtl/>
        </w:rPr>
      </w:pPr>
      <w:r>
        <w:rPr>
          <w:sz w:val="26"/>
          <w:szCs w:val="26"/>
          <w:rtl/>
        </w:rPr>
        <w:t xml:space="preserve">בפני בית המשפט מונחים שלושה הליכים: </w:t>
      </w:r>
    </w:p>
    <w:p w:rsidR="005075CF" w:rsidRDefault="005075CF" w:rsidP="00B81E92">
      <w:pPr>
        <w:spacing w:line="360" w:lineRule="auto"/>
        <w:ind w:firstLine="720"/>
        <w:jc w:val="both"/>
        <w:rPr>
          <w:sz w:val="26"/>
          <w:szCs w:val="26"/>
        </w:rPr>
      </w:pPr>
      <w:r>
        <w:rPr>
          <w:sz w:val="26"/>
          <w:szCs w:val="26"/>
          <w:rtl/>
        </w:rPr>
        <w:lastRenderedPageBreak/>
        <w:t>תביעת  מזונות שהגישה התובעת נגד הנתבע בתלה"מ 50246-10-19</w:t>
      </w:r>
    </w:p>
    <w:p w:rsidR="005075CF" w:rsidRDefault="005075CF" w:rsidP="00B81E92">
      <w:pPr>
        <w:spacing w:line="360" w:lineRule="auto"/>
        <w:ind w:firstLine="720"/>
        <w:jc w:val="both"/>
        <w:rPr>
          <w:sz w:val="26"/>
          <w:szCs w:val="26"/>
          <w:rtl/>
        </w:rPr>
      </w:pPr>
      <w:r>
        <w:rPr>
          <w:sz w:val="26"/>
          <w:szCs w:val="26"/>
          <w:rtl/>
        </w:rPr>
        <w:t>תביעה רכושית שהגיש התובע  נגד הנתבעת  בתלה"מ 31387-01-20</w:t>
      </w:r>
    </w:p>
    <w:p w:rsidR="005075CF" w:rsidRDefault="005075CF" w:rsidP="00B81E92">
      <w:pPr>
        <w:spacing w:line="360" w:lineRule="auto"/>
        <w:ind w:firstLine="720"/>
        <w:jc w:val="both"/>
        <w:rPr>
          <w:sz w:val="26"/>
          <w:szCs w:val="26"/>
          <w:rtl/>
        </w:rPr>
      </w:pPr>
      <w:r>
        <w:rPr>
          <w:sz w:val="26"/>
          <w:szCs w:val="26"/>
          <w:rtl/>
        </w:rPr>
        <w:t xml:space="preserve">ותביעה רכושית שהגישה התובעת  נגד הנתבע בתלה"מ 33813-07-21. </w:t>
      </w:r>
    </w:p>
    <w:p w:rsidR="005075CF" w:rsidRDefault="005075CF" w:rsidP="00B81E92">
      <w:pPr>
        <w:pStyle w:val="ad"/>
        <w:spacing w:line="360" w:lineRule="auto"/>
        <w:ind w:left="1080"/>
        <w:jc w:val="both"/>
        <w:rPr>
          <w:sz w:val="26"/>
          <w:szCs w:val="26"/>
          <w:rtl/>
        </w:rPr>
      </w:pPr>
    </w:p>
    <w:p w:rsidR="005075CF" w:rsidRPr="005075CF" w:rsidRDefault="005075CF" w:rsidP="00B81E92">
      <w:pPr>
        <w:spacing w:line="360" w:lineRule="auto"/>
        <w:ind w:firstLine="360"/>
        <w:jc w:val="both"/>
        <w:rPr>
          <w:bCs/>
          <w:sz w:val="26"/>
          <w:szCs w:val="26"/>
          <w:u w:val="single"/>
          <w:rtl/>
        </w:rPr>
      </w:pPr>
      <w:r w:rsidRPr="005075CF">
        <w:rPr>
          <w:bCs/>
          <w:sz w:val="26"/>
          <w:szCs w:val="26"/>
          <w:u w:val="single"/>
          <w:rtl/>
        </w:rPr>
        <w:t>תביעת המזונות</w:t>
      </w:r>
    </w:p>
    <w:p w:rsidR="005075CF" w:rsidRPr="005075CF" w:rsidRDefault="005075CF" w:rsidP="00B81E92">
      <w:pPr>
        <w:pStyle w:val="ad"/>
        <w:spacing w:line="360" w:lineRule="auto"/>
        <w:jc w:val="both"/>
        <w:rPr>
          <w:bCs/>
          <w:sz w:val="26"/>
          <w:szCs w:val="26"/>
          <w:u w:val="single"/>
          <w:rtl/>
        </w:rPr>
      </w:pPr>
    </w:p>
    <w:p w:rsidR="005075CF" w:rsidRPr="00AC1664" w:rsidRDefault="005075CF" w:rsidP="00B81E92">
      <w:pPr>
        <w:spacing w:line="360" w:lineRule="auto"/>
        <w:ind w:firstLine="360"/>
        <w:jc w:val="both"/>
        <w:rPr>
          <w:bCs/>
          <w:sz w:val="26"/>
          <w:szCs w:val="26"/>
          <w:u w:val="single"/>
          <w:rtl/>
        </w:rPr>
      </w:pPr>
      <w:r w:rsidRPr="00AC1664">
        <w:rPr>
          <w:bCs/>
          <w:sz w:val="26"/>
          <w:szCs w:val="26"/>
          <w:u w:val="single"/>
          <w:rtl/>
        </w:rPr>
        <w:t>טענות התובעת</w:t>
      </w:r>
    </w:p>
    <w:p w:rsidR="005075CF" w:rsidRDefault="005075CF" w:rsidP="00B81E92">
      <w:pPr>
        <w:pStyle w:val="ad"/>
        <w:numPr>
          <w:ilvl w:val="0"/>
          <w:numId w:val="1"/>
        </w:numPr>
        <w:spacing w:line="360" w:lineRule="auto"/>
        <w:jc w:val="both"/>
        <w:rPr>
          <w:b/>
          <w:sz w:val="26"/>
          <w:szCs w:val="26"/>
        </w:rPr>
      </w:pPr>
      <w:r>
        <w:rPr>
          <w:sz w:val="26"/>
          <w:szCs w:val="26"/>
          <w:rtl/>
        </w:rPr>
        <w:t xml:space="preserve">הנתבע הוא נהג מונית עצמאי, ובעל זכות להפעלת מונית. בחודש 6/18 רכש </w:t>
      </w:r>
      <w:r w:rsidR="00AC1664">
        <w:rPr>
          <w:rFonts w:hint="cs"/>
          <w:sz w:val="26"/>
          <w:szCs w:val="26"/>
          <w:rtl/>
        </w:rPr>
        <w:t>ה</w:t>
      </w:r>
      <w:r>
        <w:rPr>
          <w:sz w:val="26"/>
          <w:szCs w:val="26"/>
          <w:rtl/>
        </w:rPr>
        <w:t xml:space="preserve">נתבע מונית חדשה, תוך שהוא נוטל הלוואות ללא ידיעת התובעת. </w:t>
      </w:r>
    </w:p>
    <w:p w:rsidR="005075CF" w:rsidRDefault="005075CF" w:rsidP="00B81E92">
      <w:pPr>
        <w:spacing w:line="360" w:lineRule="auto"/>
        <w:ind w:left="720"/>
        <w:jc w:val="both"/>
        <w:rPr>
          <w:sz w:val="26"/>
          <w:szCs w:val="26"/>
        </w:rPr>
      </w:pPr>
      <w:r>
        <w:rPr>
          <w:sz w:val="26"/>
          <w:szCs w:val="26"/>
          <w:rtl/>
        </w:rPr>
        <w:t>הנתבע נוהג להתגאות בהכנסותיו הגבוהות, שאינן מדווחות, והן עומדות על  כ-30,000 ₪ נטו בחודש. הדברים עלו מדו"ח חוקר פרטי שהוגש לתיק. כיום, עובד הנתבע כשכיר, ומשתכר סך של 9,500 ₪ בחודש.</w:t>
      </w:r>
    </w:p>
    <w:p w:rsidR="005075CF" w:rsidRDefault="005075CF" w:rsidP="00B81E92">
      <w:pPr>
        <w:pStyle w:val="ad"/>
        <w:spacing w:line="360" w:lineRule="auto"/>
        <w:ind w:left="1080"/>
        <w:jc w:val="both"/>
        <w:rPr>
          <w:b/>
          <w:sz w:val="26"/>
          <w:szCs w:val="26"/>
          <w:rtl/>
        </w:rPr>
      </w:pPr>
    </w:p>
    <w:p w:rsidR="005075CF" w:rsidRDefault="005075CF" w:rsidP="00B37053">
      <w:pPr>
        <w:pStyle w:val="ad"/>
        <w:numPr>
          <w:ilvl w:val="0"/>
          <w:numId w:val="1"/>
        </w:numPr>
        <w:spacing w:line="360" w:lineRule="auto"/>
        <w:jc w:val="both"/>
        <w:rPr>
          <w:b/>
          <w:sz w:val="26"/>
          <w:szCs w:val="26"/>
        </w:rPr>
      </w:pPr>
      <w:r>
        <w:rPr>
          <w:sz w:val="26"/>
          <w:szCs w:val="26"/>
          <w:rtl/>
        </w:rPr>
        <w:t>התובעת בעלת השכלה תיכונית ומועסקת כסייעת לתלמיד, בהכנסה</w:t>
      </w:r>
      <w:r w:rsidR="00AC1664">
        <w:rPr>
          <w:rFonts w:hint="cs"/>
          <w:sz w:val="26"/>
          <w:szCs w:val="26"/>
          <w:rtl/>
        </w:rPr>
        <w:t xml:space="preserve"> חודשית </w:t>
      </w:r>
      <w:r>
        <w:rPr>
          <w:sz w:val="26"/>
          <w:szCs w:val="26"/>
          <w:rtl/>
        </w:rPr>
        <w:t xml:space="preserve"> של 3,987 ₪. לאחרונה החלה לעבוד בעבודה נוספת, ממנה משתכרת סך של 1,000 ₪ נוספים.</w:t>
      </w:r>
    </w:p>
    <w:p w:rsidR="005075CF" w:rsidRDefault="005075CF" w:rsidP="00B81E92">
      <w:pPr>
        <w:spacing w:line="360" w:lineRule="auto"/>
        <w:ind w:firstLine="720"/>
        <w:jc w:val="both"/>
        <w:rPr>
          <w:b/>
          <w:sz w:val="26"/>
          <w:szCs w:val="26"/>
        </w:rPr>
      </w:pPr>
      <w:r>
        <w:rPr>
          <w:sz w:val="26"/>
          <w:szCs w:val="26"/>
          <w:rtl/>
        </w:rPr>
        <w:t xml:space="preserve">דמי השכירות שמשלמת התובעת עומדים על 3,300 ₪ בחודש, ומצבה הכלכלי בכי רע. </w:t>
      </w:r>
    </w:p>
    <w:p w:rsidR="005075CF" w:rsidRDefault="005075CF" w:rsidP="00B81E92">
      <w:pPr>
        <w:pStyle w:val="ad"/>
        <w:spacing w:line="360" w:lineRule="auto"/>
        <w:ind w:left="1080"/>
        <w:jc w:val="both"/>
        <w:rPr>
          <w:b/>
          <w:sz w:val="26"/>
          <w:szCs w:val="26"/>
        </w:rPr>
      </w:pPr>
    </w:p>
    <w:p w:rsidR="005075CF" w:rsidRDefault="005075CF" w:rsidP="00B81E92">
      <w:pPr>
        <w:pStyle w:val="ad"/>
        <w:numPr>
          <w:ilvl w:val="0"/>
          <w:numId w:val="1"/>
        </w:numPr>
        <w:spacing w:line="360" w:lineRule="auto"/>
        <w:jc w:val="both"/>
        <w:rPr>
          <w:b/>
          <w:sz w:val="26"/>
          <w:szCs w:val="26"/>
        </w:rPr>
      </w:pPr>
      <w:r>
        <w:rPr>
          <w:sz w:val="26"/>
          <w:szCs w:val="26"/>
          <w:rtl/>
        </w:rPr>
        <w:t>לצדדים חשבון בנק משותף בבנק לאומי המצוי ביתרת חובה</w:t>
      </w:r>
      <w:r w:rsidR="00AC1664">
        <w:rPr>
          <w:rFonts w:hint="cs"/>
          <w:sz w:val="26"/>
          <w:szCs w:val="26"/>
          <w:rtl/>
        </w:rPr>
        <w:t xml:space="preserve">, בו </w:t>
      </w:r>
      <w:r>
        <w:rPr>
          <w:sz w:val="26"/>
          <w:szCs w:val="26"/>
          <w:rtl/>
        </w:rPr>
        <w:t xml:space="preserve">משולמות ההלוואות הרבות שנטל הנתבע. לצדדים זכויות סוציאליות שנצברו לאורך השנים, ובנוסף בבעלותם מונית  מסוג סקודה שרכש הנתבע. </w:t>
      </w:r>
    </w:p>
    <w:p w:rsidR="005075CF" w:rsidRDefault="005075CF" w:rsidP="00B81E92">
      <w:pPr>
        <w:spacing w:line="360" w:lineRule="auto"/>
        <w:ind w:firstLine="720"/>
        <w:jc w:val="both"/>
        <w:rPr>
          <w:sz w:val="26"/>
          <w:szCs w:val="26"/>
        </w:rPr>
      </w:pPr>
      <w:r>
        <w:rPr>
          <w:sz w:val="26"/>
          <w:szCs w:val="26"/>
          <w:rtl/>
        </w:rPr>
        <w:t xml:space="preserve">רמת החיים של הצדדים היתה טובה. </w:t>
      </w:r>
    </w:p>
    <w:p w:rsidR="005075CF" w:rsidRDefault="005075CF" w:rsidP="00F6623E">
      <w:pPr>
        <w:spacing w:line="360" w:lineRule="auto"/>
        <w:ind w:left="720"/>
        <w:jc w:val="both"/>
        <w:rPr>
          <w:b/>
          <w:sz w:val="26"/>
          <w:szCs w:val="26"/>
          <w:rtl/>
        </w:rPr>
      </w:pPr>
      <w:r>
        <w:rPr>
          <w:sz w:val="26"/>
          <w:szCs w:val="26"/>
          <w:rtl/>
        </w:rPr>
        <w:t>התובעת העמידה את צרכי הקטינים  על 2,151 ₪ בחודש ל</w:t>
      </w:r>
      <w:r w:rsidR="00F6623E">
        <w:rPr>
          <w:rFonts w:hint="cs"/>
          <w:sz w:val="26"/>
          <w:szCs w:val="26"/>
          <w:rtl/>
        </w:rPr>
        <w:t xml:space="preserve">א.י </w:t>
      </w:r>
      <w:r>
        <w:rPr>
          <w:sz w:val="26"/>
          <w:szCs w:val="26"/>
          <w:rtl/>
        </w:rPr>
        <w:t>ול</w:t>
      </w:r>
      <w:r w:rsidR="00F6623E">
        <w:rPr>
          <w:rFonts w:hint="cs"/>
          <w:sz w:val="26"/>
          <w:szCs w:val="26"/>
          <w:rtl/>
        </w:rPr>
        <w:t>.מ</w:t>
      </w:r>
      <w:r>
        <w:rPr>
          <w:sz w:val="26"/>
          <w:szCs w:val="26"/>
          <w:rtl/>
        </w:rPr>
        <w:t>, ועל 2,261 ₪  בחודש לא</w:t>
      </w:r>
      <w:r w:rsidR="00F6623E">
        <w:rPr>
          <w:rFonts w:hint="cs"/>
          <w:sz w:val="26"/>
          <w:szCs w:val="26"/>
          <w:rtl/>
        </w:rPr>
        <w:t>'</w:t>
      </w:r>
      <w:r>
        <w:rPr>
          <w:sz w:val="26"/>
          <w:szCs w:val="26"/>
          <w:rtl/>
        </w:rPr>
        <w:t xml:space="preserve">. </w:t>
      </w:r>
    </w:p>
    <w:p w:rsidR="005075CF" w:rsidRDefault="005075CF" w:rsidP="00B81E92">
      <w:pPr>
        <w:spacing w:line="360" w:lineRule="auto"/>
        <w:jc w:val="both"/>
        <w:rPr>
          <w:b/>
          <w:sz w:val="26"/>
          <w:szCs w:val="26"/>
          <w:rtl/>
        </w:rPr>
      </w:pPr>
    </w:p>
    <w:p w:rsidR="005075CF" w:rsidRDefault="005075CF" w:rsidP="00B81E92">
      <w:pPr>
        <w:pStyle w:val="ad"/>
        <w:numPr>
          <w:ilvl w:val="0"/>
          <w:numId w:val="1"/>
        </w:numPr>
        <w:spacing w:line="360" w:lineRule="auto"/>
        <w:jc w:val="both"/>
        <w:rPr>
          <w:sz w:val="26"/>
          <w:szCs w:val="26"/>
          <w:rtl/>
        </w:rPr>
      </w:pPr>
      <w:r>
        <w:rPr>
          <w:sz w:val="26"/>
          <w:szCs w:val="26"/>
          <w:rtl/>
        </w:rPr>
        <w:t>זמני השהות של הנתבע עם הקטינים מצומצמים. הקטינים שוהים במחיצת הנתבע שעות ספורות במהלך השבוע ובסופי השבוע, ומדובר בסך הכל ב- 13 שעות לאורך שבועיים.</w:t>
      </w:r>
    </w:p>
    <w:p w:rsidR="005075CF" w:rsidRDefault="005075CF" w:rsidP="00B81E92">
      <w:pPr>
        <w:pStyle w:val="ad"/>
        <w:spacing w:line="360" w:lineRule="auto"/>
        <w:ind w:left="1080"/>
        <w:jc w:val="both"/>
        <w:rPr>
          <w:sz w:val="26"/>
          <w:szCs w:val="26"/>
        </w:rPr>
      </w:pPr>
    </w:p>
    <w:p w:rsidR="005075CF" w:rsidRDefault="005075CF" w:rsidP="00B81E92">
      <w:pPr>
        <w:pStyle w:val="ad"/>
        <w:numPr>
          <w:ilvl w:val="0"/>
          <w:numId w:val="1"/>
        </w:numPr>
        <w:spacing w:line="360" w:lineRule="auto"/>
        <w:jc w:val="both"/>
        <w:rPr>
          <w:b/>
          <w:sz w:val="26"/>
          <w:szCs w:val="26"/>
        </w:rPr>
      </w:pPr>
      <w:r>
        <w:rPr>
          <w:sz w:val="26"/>
          <w:szCs w:val="26"/>
          <w:rtl/>
        </w:rPr>
        <w:t xml:space="preserve">יש לחייב אפוא את הנתבע  במזונות הקטינים בסך של 6,563 ₪ בחודש, במחצית מעלות מדורם של הקטינים ובמרבית  ההוצאות הרפואיות והוצאות החינוך. </w:t>
      </w:r>
    </w:p>
    <w:p w:rsidR="005075CF" w:rsidRDefault="005075CF" w:rsidP="00B81E92">
      <w:pPr>
        <w:spacing w:line="360" w:lineRule="auto"/>
        <w:jc w:val="both"/>
        <w:rPr>
          <w:sz w:val="26"/>
          <w:szCs w:val="26"/>
        </w:rPr>
      </w:pPr>
    </w:p>
    <w:p w:rsidR="005075CF" w:rsidRPr="00AC1664" w:rsidRDefault="005075CF" w:rsidP="00B81E92">
      <w:pPr>
        <w:spacing w:line="360" w:lineRule="auto"/>
        <w:ind w:firstLine="360"/>
        <w:jc w:val="both"/>
        <w:rPr>
          <w:bCs/>
          <w:sz w:val="26"/>
          <w:szCs w:val="26"/>
          <w:u w:val="single"/>
          <w:rtl/>
        </w:rPr>
      </w:pPr>
      <w:r w:rsidRPr="00AC1664">
        <w:rPr>
          <w:bCs/>
          <w:sz w:val="26"/>
          <w:szCs w:val="26"/>
          <w:u w:val="single"/>
          <w:rtl/>
        </w:rPr>
        <w:t>טענות הנתבע</w:t>
      </w:r>
    </w:p>
    <w:p w:rsidR="005075CF" w:rsidRPr="00AC1664" w:rsidRDefault="005075CF" w:rsidP="00B81E92">
      <w:pPr>
        <w:pStyle w:val="ad"/>
        <w:numPr>
          <w:ilvl w:val="0"/>
          <w:numId w:val="1"/>
        </w:numPr>
        <w:spacing w:line="360" w:lineRule="auto"/>
        <w:jc w:val="both"/>
        <w:rPr>
          <w:sz w:val="26"/>
          <w:szCs w:val="26"/>
        </w:rPr>
      </w:pPr>
      <w:r>
        <w:rPr>
          <w:sz w:val="26"/>
          <w:szCs w:val="26"/>
          <w:rtl/>
        </w:rPr>
        <w:lastRenderedPageBreak/>
        <w:t xml:space="preserve">הנתבע חסר השכלה ואינו בעל  תעודת בגרות. הוא נהג להחליף את עבודתו חדשות לבקרים, וכאשר שימש כנהג מונית השתכר סך של 7,627 ₪ בחודש בלבד. בעניין זה, דברי הנתבע לחוקר הפרטי היו בגדר התרברבות ותו לא. </w:t>
      </w:r>
      <w:r w:rsidR="00AC1664">
        <w:rPr>
          <w:rFonts w:hint="cs"/>
          <w:sz w:val="26"/>
          <w:szCs w:val="26"/>
          <w:rtl/>
        </w:rPr>
        <w:t xml:space="preserve"> </w:t>
      </w:r>
      <w:r w:rsidRPr="00AC1664">
        <w:rPr>
          <w:sz w:val="26"/>
          <w:szCs w:val="26"/>
          <w:rtl/>
        </w:rPr>
        <w:t>כיום עובד הנתבע כשכיר.</w:t>
      </w:r>
    </w:p>
    <w:p w:rsidR="005075CF" w:rsidRDefault="005075CF" w:rsidP="00B81E92">
      <w:pPr>
        <w:pStyle w:val="ad"/>
        <w:spacing w:line="360" w:lineRule="auto"/>
        <w:ind w:left="1080"/>
        <w:jc w:val="both"/>
        <w:rPr>
          <w:sz w:val="26"/>
          <w:szCs w:val="26"/>
        </w:rPr>
      </w:pPr>
    </w:p>
    <w:p w:rsidR="005075CF" w:rsidRDefault="005075CF" w:rsidP="00B81E92">
      <w:pPr>
        <w:pStyle w:val="ad"/>
        <w:numPr>
          <w:ilvl w:val="0"/>
          <w:numId w:val="1"/>
        </w:numPr>
        <w:spacing w:line="360" w:lineRule="auto"/>
        <w:jc w:val="both"/>
        <w:rPr>
          <w:sz w:val="26"/>
          <w:szCs w:val="26"/>
        </w:rPr>
      </w:pPr>
      <w:r>
        <w:rPr>
          <w:sz w:val="26"/>
          <w:szCs w:val="26"/>
          <w:rtl/>
        </w:rPr>
        <w:t xml:space="preserve">הצדדים התנהלו בשיתוף מלא במהלך חייהם המשותפים, והתובעת מודעת לכל ההלוואות שנטלו. לצדדים חובות משותפים בגין רכישת מונית, בגין היטל השבחה ובגין הלוואות שניטלו לצורך פרעון יתרת חובה בחשבון המשותף. </w:t>
      </w:r>
    </w:p>
    <w:p w:rsidR="005075CF" w:rsidRDefault="005075CF" w:rsidP="00B81E92">
      <w:pPr>
        <w:pStyle w:val="ad"/>
        <w:spacing w:line="360" w:lineRule="auto"/>
        <w:jc w:val="both"/>
        <w:rPr>
          <w:sz w:val="26"/>
          <w:szCs w:val="26"/>
        </w:rPr>
      </w:pPr>
    </w:p>
    <w:p w:rsidR="005075CF" w:rsidRDefault="005075CF" w:rsidP="00B81E92">
      <w:pPr>
        <w:pStyle w:val="ad"/>
        <w:numPr>
          <w:ilvl w:val="0"/>
          <w:numId w:val="1"/>
        </w:numPr>
        <w:spacing w:line="360" w:lineRule="auto"/>
        <w:jc w:val="both"/>
        <w:rPr>
          <w:sz w:val="26"/>
          <w:szCs w:val="26"/>
          <w:rtl/>
        </w:rPr>
      </w:pPr>
      <w:r>
        <w:rPr>
          <w:sz w:val="26"/>
          <w:szCs w:val="26"/>
          <w:rtl/>
        </w:rPr>
        <w:t xml:space="preserve">צרכי הקטינים כפי שפורטו על ידי התובעת מופרזים ומוגזמים, והתובעת כלל לא הציגה ראיות להוצאות הנטענות על ידה. מדובר במשפחה שנזקקה לעזרה קבועה מהוריהם של הצדדים, ובהתאמה גם צרכי הקטינים הם בסיסיים. למעשה, סכום  המזונות הנתבע בתביעה עולה על השתכרותו של הנתבע. </w:t>
      </w:r>
    </w:p>
    <w:p w:rsidR="005075CF" w:rsidRDefault="005075CF" w:rsidP="00B81E92">
      <w:pPr>
        <w:spacing w:line="360" w:lineRule="auto"/>
        <w:ind w:left="720"/>
        <w:jc w:val="both"/>
        <w:rPr>
          <w:sz w:val="26"/>
          <w:szCs w:val="26"/>
        </w:rPr>
      </w:pPr>
      <w:r>
        <w:rPr>
          <w:sz w:val="26"/>
          <w:szCs w:val="26"/>
          <w:rtl/>
        </w:rPr>
        <w:t xml:space="preserve">משכך, ביקש הנתבע כי ייפסקו מזונות בסך של 400 ₪ לכל אחד מן הילדים, בסך של 75 ₪ בחודש לביגוד והנעלה לכל ילד, עוד ביקש כי ייפסק מדור בגובה מחצית מהוצאות השכירות בסך של 1,650 ₪ בחודש, וכן ביקש כי הצדדים יחלקו בהוצאות החינוך והבריאות של הקטינים. </w:t>
      </w:r>
      <w:r w:rsidR="00E335A0">
        <w:rPr>
          <w:rFonts w:hint="cs"/>
          <w:sz w:val="26"/>
          <w:szCs w:val="26"/>
          <w:rtl/>
        </w:rPr>
        <w:t>עוד ביקש הנתבע כי המזונות יופחתו בתקופת הקורונה.</w:t>
      </w:r>
    </w:p>
    <w:p w:rsidR="005075CF" w:rsidRPr="00E335A0" w:rsidRDefault="005075CF" w:rsidP="00B81E92">
      <w:pPr>
        <w:pStyle w:val="ad"/>
        <w:spacing w:line="360" w:lineRule="auto"/>
        <w:jc w:val="both"/>
        <w:rPr>
          <w:sz w:val="26"/>
          <w:szCs w:val="26"/>
        </w:rPr>
      </w:pPr>
    </w:p>
    <w:p w:rsidR="005075CF" w:rsidRPr="00E335A0" w:rsidRDefault="005075CF" w:rsidP="00B81E92">
      <w:pPr>
        <w:spacing w:line="360" w:lineRule="auto"/>
        <w:ind w:firstLine="360"/>
        <w:jc w:val="both"/>
        <w:rPr>
          <w:bCs/>
          <w:sz w:val="26"/>
          <w:szCs w:val="26"/>
          <w:u w:val="single"/>
          <w:rtl/>
        </w:rPr>
      </w:pPr>
      <w:r w:rsidRPr="00E335A0">
        <w:rPr>
          <w:bCs/>
          <w:sz w:val="26"/>
          <w:szCs w:val="26"/>
          <w:u w:val="single"/>
          <w:rtl/>
        </w:rPr>
        <w:lastRenderedPageBreak/>
        <w:t>דיון</w:t>
      </w:r>
    </w:p>
    <w:p w:rsidR="005075CF" w:rsidRDefault="005075CF" w:rsidP="00B81E92">
      <w:pPr>
        <w:pStyle w:val="ad"/>
        <w:numPr>
          <w:ilvl w:val="0"/>
          <w:numId w:val="1"/>
        </w:numPr>
        <w:spacing w:before="120" w:after="120" w:line="360" w:lineRule="auto"/>
        <w:jc w:val="both"/>
        <w:rPr>
          <w:rFonts w:ascii="David" w:hAnsi="David"/>
          <w:sz w:val="26"/>
          <w:szCs w:val="26"/>
          <w:rtl/>
        </w:rPr>
      </w:pPr>
      <w:r>
        <w:rPr>
          <w:rFonts w:ascii="David" w:hAnsi="David"/>
          <w:sz w:val="26"/>
          <w:szCs w:val="26"/>
          <w:rtl/>
        </w:rPr>
        <w:t>בהחלטה למזונות זמניים מיום 2.12.19, חויב הנתבע במזונותיהם הזמניים של הקטינים בסך של 1,500 ש"ח לכל קטין, וכן בסך של 1,650 ₪ בגין מדור הקטינים, נוסף על מחצית הוצאות חינוך ומחצית הוצאות רפואיות חריגות.</w:t>
      </w:r>
    </w:p>
    <w:p w:rsidR="005075CF" w:rsidRDefault="005075CF" w:rsidP="00B81E92">
      <w:pPr>
        <w:pStyle w:val="ad"/>
        <w:spacing w:before="120" w:after="120" w:line="360" w:lineRule="auto"/>
        <w:ind w:left="1080"/>
        <w:jc w:val="both"/>
        <w:rPr>
          <w:rFonts w:ascii="David" w:hAnsi="David"/>
          <w:sz w:val="26"/>
          <w:szCs w:val="26"/>
        </w:rPr>
      </w:pPr>
    </w:p>
    <w:p w:rsidR="005075CF" w:rsidRPr="00E335A0" w:rsidRDefault="005075CF" w:rsidP="00B81E92">
      <w:pPr>
        <w:pStyle w:val="ad"/>
        <w:numPr>
          <w:ilvl w:val="0"/>
          <w:numId w:val="1"/>
        </w:numPr>
        <w:spacing w:before="120" w:after="120" w:line="360" w:lineRule="auto"/>
        <w:jc w:val="both"/>
        <w:rPr>
          <w:rFonts w:ascii="David" w:hAnsi="David"/>
          <w:bCs/>
          <w:sz w:val="26"/>
          <w:szCs w:val="26"/>
        </w:rPr>
      </w:pPr>
      <w:r>
        <w:rPr>
          <w:rFonts w:ascii="David" w:hAnsi="David"/>
          <w:sz w:val="26"/>
          <w:szCs w:val="26"/>
          <w:rtl/>
        </w:rPr>
        <w:t xml:space="preserve">בבע"מ 919/15 </w:t>
      </w:r>
      <w:r w:rsidRPr="00E335A0">
        <w:rPr>
          <w:rFonts w:ascii="David" w:hAnsi="David"/>
          <w:bCs/>
          <w:sz w:val="26"/>
          <w:szCs w:val="26"/>
          <w:rtl/>
        </w:rPr>
        <w:t>פלוני נ' פלונית</w:t>
      </w:r>
      <w:r>
        <w:rPr>
          <w:rFonts w:ascii="David" w:hAnsi="David"/>
          <w:sz w:val="26"/>
          <w:szCs w:val="26"/>
          <w:rtl/>
        </w:rPr>
        <w:t xml:space="preserve"> (19.7.17) נקבע, כי על מנת לקבוע את מזונות הקטינים, יש לבחון את צרכי הקטינים, יחס הכנסות הצדדים ויחס סדרי השהות. וראו בעניין זה  עמ"ש (מחוזי מרכז) 65692-11-19 </w:t>
      </w:r>
      <w:r w:rsidRPr="00E335A0">
        <w:rPr>
          <w:rFonts w:ascii="David" w:hAnsi="David"/>
          <w:bCs/>
          <w:sz w:val="26"/>
          <w:szCs w:val="26"/>
          <w:rtl/>
        </w:rPr>
        <w:t>ד.ס. נ' ל.צ.ס</w:t>
      </w:r>
      <w:r>
        <w:rPr>
          <w:rFonts w:ascii="David" w:hAnsi="David"/>
          <w:sz w:val="26"/>
          <w:szCs w:val="26"/>
          <w:rtl/>
        </w:rPr>
        <w:t xml:space="preserve"> ( 22.9.20) הקובע כי </w:t>
      </w:r>
      <w:r w:rsidRPr="00E335A0">
        <w:rPr>
          <w:rFonts w:ascii="David" w:hAnsi="David"/>
          <w:bCs/>
          <w:sz w:val="26"/>
          <w:szCs w:val="26"/>
          <w:rtl/>
        </w:rPr>
        <w:t>"על פי פסק דינו של בית המשפט העליון, חיוב המזונות יעשה בהתחשבות בצרכי הקטינים, יכולותיהם הכלכליות של כל אחד מההורים, חלוקת זמני השהות ואופי האחריות בפועל של כל אחד מההורים ביחס לקטינים."</w:t>
      </w:r>
    </w:p>
    <w:p w:rsidR="005075CF" w:rsidRDefault="005075CF" w:rsidP="00B81E92">
      <w:pPr>
        <w:spacing w:before="120" w:after="120" w:line="360" w:lineRule="auto"/>
        <w:ind w:left="720"/>
        <w:jc w:val="both"/>
        <w:rPr>
          <w:rFonts w:ascii="David" w:hAnsi="David"/>
          <w:b/>
          <w:sz w:val="26"/>
          <w:szCs w:val="26"/>
          <w:u w:val="single"/>
        </w:rPr>
      </w:pPr>
    </w:p>
    <w:p w:rsidR="005075CF" w:rsidRPr="00E335A0" w:rsidRDefault="005075CF" w:rsidP="00B81E92">
      <w:pPr>
        <w:spacing w:before="120" w:after="120" w:line="360" w:lineRule="auto"/>
        <w:ind w:firstLine="360"/>
        <w:jc w:val="both"/>
        <w:rPr>
          <w:rFonts w:ascii="David" w:hAnsi="David"/>
          <w:bCs/>
          <w:sz w:val="26"/>
          <w:szCs w:val="26"/>
          <w:u w:val="single"/>
          <w:rtl/>
        </w:rPr>
      </w:pPr>
      <w:r w:rsidRPr="00E335A0">
        <w:rPr>
          <w:rFonts w:ascii="David" w:hAnsi="David"/>
          <w:bCs/>
          <w:sz w:val="26"/>
          <w:szCs w:val="26"/>
          <w:u w:val="single"/>
          <w:rtl/>
        </w:rPr>
        <w:t>צרכי הקטינים</w:t>
      </w:r>
    </w:p>
    <w:p w:rsidR="005075CF" w:rsidRPr="00E335A0" w:rsidRDefault="005075CF" w:rsidP="00B81E92">
      <w:pPr>
        <w:pStyle w:val="ad"/>
        <w:numPr>
          <w:ilvl w:val="0"/>
          <w:numId w:val="1"/>
        </w:numPr>
        <w:spacing w:before="120" w:after="120" w:line="360" w:lineRule="auto"/>
        <w:jc w:val="both"/>
        <w:rPr>
          <w:rFonts w:ascii="David" w:hAnsi="David"/>
          <w:b/>
          <w:bCs/>
          <w:sz w:val="26"/>
          <w:szCs w:val="26"/>
          <w:rtl/>
        </w:rPr>
      </w:pPr>
      <w:r>
        <w:rPr>
          <w:rFonts w:ascii="David" w:hAnsi="David"/>
          <w:sz w:val="26"/>
          <w:szCs w:val="26"/>
          <w:rtl/>
        </w:rPr>
        <w:t xml:space="preserve">ברמ"ש (מחוזי מרכז) 59188-10-18 </w:t>
      </w:r>
      <w:r w:rsidRPr="00E335A0">
        <w:rPr>
          <w:rFonts w:ascii="David" w:hAnsi="David"/>
          <w:b/>
          <w:bCs/>
          <w:sz w:val="26"/>
          <w:szCs w:val="26"/>
          <w:rtl/>
        </w:rPr>
        <w:t>נ. נ' נ</w:t>
      </w:r>
      <w:r>
        <w:rPr>
          <w:rFonts w:ascii="David" w:hAnsi="David"/>
          <w:sz w:val="26"/>
          <w:szCs w:val="26"/>
          <w:rtl/>
        </w:rPr>
        <w:t xml:space="preserve">., נקבע ע"י כב' השופט ויצמן כי </w:t>
      </w:r>
      <w:r w:rsidRPr="00E335A0">
        <w:rPr>
          <w:rFonts w:ascii="David" w:hAnsi="David"/>
          <w:b/>
          <w:bCs/>
          <w:sz w:val="26"/>
          <w:szCs w:val="26"/>
          <w:rtl/>
        </w:rPr>
        <w:t xml:space="preserve">"... יש לזכור כי קודם להלכת בע"מ 919/15 נהגו בתי המשפט לאמוד צרכיו החודשיים של קטין בשיעור של כ – 1400 ₪ ואולם הערכה זו נגעה אך ורק באשר לצרכיו ההכרחיים ואולם מאז שניתנה הלכת בע"מ 919/15 אין מקום לחלק בין צרכים הכרחיים לאלו שאינם הכרחיים ויש לאמוד את הצרכים בכללותם. עוד יש לציין כי צרכיו של קטין המתגורר בשני בתים עולים על צרכיו של קטין המתגורר בבית אחד </w:t>
      </w:r>
      <w:r w:rsidRPr="00E335A0">
        <w:rPr>
          <w:rFonts w:ascii="David" w:hAnsi="David"/>
          <w:b/>
          <w:bCs/>
          <w:sz w:val="26"/>
          <w:szCs w:val="26"/>
          <w:rtl/>
        </w:rPr>
        <w:lastRenderedPageBreak/>
        <w:t>נוכח הכפילויות הנדרשות מטבעם של דברים בחלק מהוצאותיו, להערכתי ומבלי לקבוע מסמרות בדבר ראוי שהערכה זו תעלה, למצער, על סך של 2250 ₪ לחודש לקטין."</w:t>
      </w:r>
    </w:p>
    <w:p w:rsidR="005075CF" w:rsidRDefault="005075CF" w:rsidP="00B81E92">
      <w:pPr>
        <w:pStyle w:val="ad"/>
        <w:spacing w:before="120" w:after="120" w:line="360" w:lineRule="auto"/>
        <w:ind w:left="1080"/>
        <w:jc w:val="both"/>
        <w:rPr>
          <w:rFonts w:ascii="David" w:hAnsi="David"/>
          <w:b/>
          <w:sz w:val="26"/>
          <w:szCs w:val="26"/>
        </w:rPr>
      </w:pPr>
    </w:p>
    <w:p w:rsidR="005075CF" w:rsidRDefault="005075CF" w:rsidP="00B81E92">
      <w:pPr>
        <w:pStyle w:val="ad"/>
        <w:numPr>
          <w:ilvl w:val="0"/>
          <w:numId w:val="1"/>
        </w:numPr>
        <w:spacing w:before="120" w:after="120" w:line="360" w:lineRule="auto"/>
        <w:jc w:val="both"/>
        <w:rPr>
          <w:rFonts w:ascii="David" w:hAnsi="David"/>
          <w:sz w:val="26"/>
          <w:szCs w:val="26"/>
          <w:rtl/>
        </w:rPr>
      </w:pPr>
      <w:r>
        <w:rPr>
          <w:rFonts w:ascii="David" w:hAnsi="David"/>
          <w:sz w:val="26"/>
          <w:szCs w:val="26"/>
          <w:rtl/>
        </w:rPr>
        <w:t xml:space="preserve">כפי שהובא לעיל, הצדדים תארו לפני בית המשפט כי במהלך חייהם המשותפים נתמכו כלכלית דרך קבע בהוריהם, </w:t>
      </w:r>
      <w:r>
        <w:rPr>
          <w:sz w:val="26"/>
          <w:szCs w:val="26"/>
          <w:rtl/>
        </w:rPr>
        <w:t xml:space="preserve">ולדברי התובעת: </w:t>
      </w:r>
      <w:r>
        <w:rPr>
          <w:b/>
          <w:sz w:val="26"/>
          <w:szCs w:val="26"/>
          <w:rtl/>
        </w:rPr>
        <w:t>"</w:t>
      </w:r>
      <w:r w:rsidRPr="00E335A0">
        <w:rPr>
          <w:bCs/>
          <w:sz w:val="26"/>
          <w:szCs w:val="26"/>
          <w:rtl/>
        </w:rPr>
        <w:t>בשמונה שנים ראשונות לפני שנהיה נהג מונית היינו בחובות גדולים בבנק והיינו צריכים הרבה עזרה</w:t>
      </w:r>
      <w:r w:rsidR="00E335A0">
        <w:rPr>
          <w:rFonts w:hint="cs"/>
          <w:bCs/>
          <w:sz w:val="26"/>
          <w:szCs w:val="26"/>
          <w:rtl/>
        </w:rPr>
        <w:t xml:space="preserve"> מההורים שלי ואחרי שהפך לנהג מונית הפסקנו לקחת מההורים כי רמת </w:t>
      </w:r>
      <w:r w:rsidRPr="00E335A0">
        <w:rPr>
          <w:bCs/>
          <w:sz w:val="26"/>
          <w:szCs w:val="26"/>
          <w:rtl/>
        </w:rPr>
        <w:t>החיים בבית הפכה להיות יותר גבוהה"</w:t>
      </w:r>
      <w:r>
        <w:rPr>
          <w:b/>
          <w:sz w:val="26"/>
          <w:szCs w:val="26"/>
          <w:rtl/>
        </w:rPr>
        <w:t xml:space="preserve"> </w:t>
      </w:r>
      <w:r>
        <w:rPr>
          <w:sz w:val="26"/>
          <w:szCs w:val="26"/>
          <w:rtl/>
        </w:rPr>
        <w:t xml:space="preserve">(עמ' 19 ש' 25-27). היא הודתה כי אין בידיה אסמכתאות  להוצאות שפורטו על ידה בתביעתה ולדבריה: </w:t>
      </w:r>
      <w:r>
        <w:rPr>
          <w:b/>
          <w:sz w:val="26"/>
          <w:szCs w:val="26"/>
          <w:rtl/>
        </w:rPr>
        <w:t>"</w:t>
      </w:r>
      <w:r w:rsidRPr="00E335A0">
        <w:rPr>
          <w:bCs/>
          <w:sz w:val="26"/>
          <w:szCs w:val="26"/>
          <w:rtl/>
        </w:rPr>
        <w:t xml:space="preserve">אין לי איך להראות אבל ילדים זה הוצאות מרובות" </w:t>
      </w:r>
      <w:r>
        <w:rPr>
          <w:sz w:val="26"/>
          <w:szCs w:val="26"/>
          <w:rtl/>
        </w:rPr>
        <w:t xml:space="preserve">(עמ' 29 ש' 1). </w:t>
      </w:r>
      <w:r>
        <w:rPr>
          <w:rFonts w:ascii="David" w:hAnsi="David"/>
          <w:sz w:val="26"/>
          <w:szCs w:val="26"/>
          <w:rtl/>
        </w:rPr>
        <w:t xml:space="preserve"> </w:t>
      </w:r>
    </w:p>
    <w:p w:rsidR="005075CF" w:rsidRDefault="005075CF" w:rsidP="00B81E92">
      <w:pPr>
        <w:spacing w:before="120" w:after="120" w:line="360" w:lineRule="auto"/>
        <w:ind w:left="720"/>
        <w:jc w:val="both"/>
        <w:rPr>
          <w:rFonts w:ascii="David" w:hAnsi="David"/>
          <w:sz w:val="26"/>
          <w:szCs w:val="26"/>
        </w:rPr>
      </w:pPr>
      <w:r>
        <w:rPr>
          <w:rFonts w:ascii="David" w:hAnsi="David"/>
          <w:sz w:val="26"/>
          <w:szCs w:val="26"/>
          <w:rtl/>
        </w:rPr>
        <w:t>בהתא</w:t>
      </w:r>
      <w:r w:rsidR="00E335A0">
        <w:rPr>
          <w:rFonts w:ascii="David" w:hAnsi="David" w:hint="cs"/>
          <w:sz w:val="26"/>
          <w:szCs w:val="26"/>
          <w:rtl/>
        </w:rPr>
        <w:t>מה</w:t>
      </w:r>
      <w:r>
        <w:rPr>
          <w:rFonts w:ascii="David" w:hAnsi="David"/>
          <w:sz w:val="26"/>
          <w:szCs w:val="26"/>
          <w:rtl/>
        </w:rPr>
        <w:t xml:space="preserve"> לאמור לעיל, לא מצאתי  לחרוג מן ההנחה כי  צרכיו של כל אחד מן הקטינים יעמדו על  2,250 ₪ בחודש, ולא למעלה מכך.</w:t>
      </w:r>
      <w:hyperlink w:history="1"/>
    </w:p>
    <w:p w:rsidR="005075CF" w:rsidRDefault="005075CF" w:rsidP="00B81E92">
      <w:pPr>
        <w:spacing w:line="360" w:lineRule="auto"/>
        <w:jc w:val="both"/>
        <w:rPr>
          <w:sz w:val="26"/>
          <w:szCs w:val="26"/>
          <w:rtl/>
        </w:rPr>
      </w:pPr>
    </w:p>
    <w:p w:rsidR="005075CF" w:rsidRPr="00E335A0" w:rsidRDefault="005075CF" w:rsidP="00B81E92">
      <w:pPr>
        <w:spacing w:line="360" w:lineRule="auto"/>
        <w:ind w:firstLine="360"/>
        <w:jc w:val="both"/>
        <w:rPr>
          <w:bCs/>
          <w:sz w:val="26"/>
          <w:szCs w:val="26"/>
          <w:u w:val="single"/>
          <w:rtl/>
        </w:rPr>
      </w:pPr>
      <w:r w:rsidRPr="00E335A0">
        <w:rPr>
          <w:bCs/>
          <w:sz w:val="26"/>
          <w:szCs w:val="26"/>
          <w:u w:val="single"/>
          <w:rtl/>
        </w:rPr>
        <w:t>סדרי השהות</w:t>
      </w:r>
    </w:p>
    <w:p w:rsidR="005075CF" w:rsidRDefault="005075CF" w:rsidP="00B81E92">
      <w:pPr>
        <w:pStyle w:val="ad"/>
        <w:numPr>
          <w:ilvl w:val="0"/>
          <w:numId w:val="1"/>
        </w:numPr>
        <w:spacing w:line="360" w:lineRule="auto"/>
        <w:jc w:val="both"/>
        <w:rPr>
          <w:sz w:val="26"/>
          <w:szCs w:val="26"/>
        </w:rPr>
      </w:pPr>
      <w:r>
        <w:rPr>
          <w:sz w:val="26"/>
          <w:szCs w:val="26"/>
          <w:rtl/>
        </w:rPr>
        <w:t>הנתבע בחקירתו פירט את מתווה מפגשיו עם הקטינים:</w:t>
      </w:r>
    </w:p>
    <w:p w:rsidR="005075CF" w:rsidRDefault="005075CF" w:rsidP="00B81E92">
      <w:pPr>
        <w:spacing w:line="360" w:lineRule="auto"/>
        <w:ind w:left="720"/>
        <w:jc w:val="both"/>
        <w:rPr>
          <w:sz w:val="26"/>
          <w:szCs w:val="26"/>
        </w:rPr>
      </w:pPr>
      <w:r>
        <w:rPr>
          <w:sz w:val="26"/>
          <w:szCs w:val="26"/>
          <w:rtl/>
        </w:rPr>
        <w:t>בשבוע אחד בימים א' ו- ג' בין השעות 16:00-19:00, ובשבוע השני ביום ג' באותן שעות. בשבוע השני פוגש הנתבע בקטינים גם בשבת, משעות  מהבוקר עד הערב, ללא לינה.</w:t>
      </w:r>
    </w:p>
    <w:p w:rsidR="005075CF" w:rsidRDefault="005075CF" w:rsidP="00B81E92">
      <w:pPr>
        <w:pStyle w:val="ad"/>
        <w:spacing w:line="360" w:lineRule="auto"/>
        <w:ind w:left="1080"/>
        <w:jc w:val="both"/>
        <w:rPr>
          <w:sz w:val="26"/>
          <w:szCs w:val="26"/>
        </w:rPr>
      </w:pPr>
    </w:p>
    <w:p w:rsidR="005075CF" w:rsidRPr="009F5624" w:rsidRDefault="005075CF" w:rsidP="00B81E92">
      <w:pPr>
        <w:spacing w:line="360" w:lineRule="auto"/>
        <w:ind w:firstLine="720"/>
        <w:jc w:val="both"/>
        <w:rPr>
          <w:bCs/>
          <w:sz w:val="26"/>
          <w:szCs w:val="26"/>
        </w:rPr>
      </w:pPr>
      <w:r w:rsidRPr="009F5624">
        <w:rPr>
          <w:bCs/>
          <w:sz w:val="26"/>
          <w:szCs w:val="26"/>
          <w:rtl/>
        </w:rPr>
        <w:t xml:space="preserve">יחס סדרי השהות הוא 6%  לנתבע ו- 94% לתובעת. </w:t>
      </w:r>
    </w:p>
    <w:p w:rsidR="005075CF" w:rsidRDefault="005075CF" w:rsidP="00B81E92">
      <w:pPr>
        <w:spacing w:line="360" w:lineRule="auto"/>
        <w:ind w:firstLine="720"/>
        <w:jc w:val="both"/>
        <w:rPr>
          <w:b/>
          <w:sz w:val="26"/>
          <w:szCs w:val="26"/>
          <w:u w:val="single"/>
        </w:rPr>
      </w:pPr>
    </w:p>
    <w:p w:rsidR="005075CF" w:rsidRPr="009F5624" w:rsidRDefault="005075CF" w:rsidP="00B81E92">
      <w:pPr>
        <w:spacing w:line="360" w:lineRule="auto"/>
        <w:ind w:firstLine="360"/>
        <w:jc w:val="both"/>
        <w:rPr>
          <w:bCs/>
          <w:sz w:val="26"/>
          <w:szCs w:val="26"/>
          <w:u w:val="single"/>
          <w:rtl/>
        </w:rPr>
      </w:pPr>
      <w:r w:rsidRPr="009F5624">
        <w:rPr>
          <w:bCs/>
          <w:sz w:val="26"/>
          <w:szCs w:val="26"/>
          <w:u w:val="single"/>
          <w:rtl/>
        </w:rPr>
        <w:t>הכנסות הצדדים</w:t>
      </w:r>
    </w:p>
    <w:p w:rsidR="005075CF" w:rsidRDefault="00F6623E" w:rsidP="00F6623E">
      <w:pPr>
        <w:pStyle w:val="ad"/>
        <w:numPr>
          <w:ilvl w:val="0"/>
          <w:numId w:val="1"/>
        </w:numPr>
        <w:spacing w:line="360" w:lineRule="auto"/>
        <w:jc w:val="both"/>
        <w:rPr>
          <w:sz w:val="26"/>
          <w:szCs w:val="26"/>
        </w:rPr>
      </w:pPr>
      <w:r>
        <w:rPr>
          <w:sz w:val="26"/>
          <w:szCs w:val="26"/>
          <w:rtl/>
        </w:rPr>
        <w:t>החוקר הפרטי</w:t>
      </w:r>
      <w:r w:rsidR="005075CF">
        <w:rPr>
          <w:sz w:val="26"/>
          <w:szCs w:val="26"/>
          <w:rtl/>
        </w:rPr>
        <w:t xml:space="preserve">, נחקר ארוכות בפני בית המשפט על תצהירו, בו תיאר נסיעה שערך ביום 21.8.19 במונית בה נהג הנתבע. </w:t>
      </w:r>
    </w:p>
    <w:p w:rsidR="005075CF" w:rsidRDefault="00F6623E" w:rsidP="00F6623E">
      <w:pPr>
        <w:spacing w:line="360" w:lineRule="auto"/>
        <w:ind w:left="720"/>
        <w:jc w:val="both"/>
        <w:rPr>
          <w:sz w:val="26"/>
          <w:szCs w:val="26"/>
        </w:rPr>
      </w:pPr>
      <w:r>
        <w:rPr>
          <w:sz w:val="26"/>
          <w:szCs w:val="26"/>
          <w:rtl/>
        </w:rPr>
        <w:t>לדבר</w:t>
      </w:r>
      <w:r>
        <w:rPr>
          <w:rFonts w:hint="cs"/>
          <w:sz w:val="26"/>
          <w:szCs w:val="26"/>
          <w:rtl/>
        </w:rPr>
        <w:t>יו</w:t>
      </w:r>
      <w:r w:rsidR="005075CF">
        <w:rPr>
          <w:sz w:val="26"/>
          <w:szCs w:val="26"/>
          <w:rtl/>
        </w:rPr>
        <w:t xml:space="preserve">, שוחח עמו  הנתבע באריכות על הכנסתו כנהג מונית, הצהיר בפניו כי הוא נהנה מהכנסות גבוהות, אשר חלקן  מתקבל במזומן ובלתי מדווח. החקירה התמקדה בדברי הנתבע ובנתונים שמסר אודות הכנסתו בעת ההיא.  </w:t>
      </w:r>
    </w:p>
    <w:p w:rsidR="005075CF" w:rsidRDefault="005075CF" w:rsidP="00F6623E">
      <w:pPr>
        <w:spacing w:line="360" w:lineRule="auto"/>
        <w:ind w:left="720"/>
        <w:jc w:val="both"/>
        <w:rPr>
          <w:sz w:val="26"/>
          <w:szCs w:val="26"/>
          <w:rtl/>
        </w:rPr>
      </w:pPr>
      <w:r>
        <w:rPr>
          <w:sz w:val="26"/>
          <w:szCs w:val="26"/>
          <w:rtl/>
        </w:rPr>
        <w:t xml:space="preserve">אולם, מחקירת הנתבע עולה, כי הוא אינו עובד עוד כנהג מונית, ומשמש כשכיר בחברת </w:t>
      </w:r>
      <w:r w:rsidR="00F6623E">
        <w:rPr>
          <w:rFonts w:hint="cs"/>
          <w:sz w:val="26"/>
          <w:szCs w:val="26"/>
          <w:rtl/>
        </w:rPr>
        <w:t>___</w:t>
      </w:r>
      <w:r>
        <w:rPr>
          <w:sz w:val="26"/>
          <w:szCs w:val="26"/>
          <w:rtl/>
        </w:rPr>
        <w:t xml:space="preserve">, בחלוקת מאפים מן המפעל לבתי קפה בתל אביב (עמ' 53 שורה 31-34 ). </w:t>
      </w:r>
    </w:p>
    <w:p w:rsidR="005075CF" w:rsidRDefault="005075CF" w:rsidP="00B81E92">
      <w:pPr>
        <w:spacing w:line="360" w:lineRule="auto"/>
        <w:ind w:left="720"/>
        <w:jc w:val="both"/>
        <w:rPr>
          <w:sz w:val="26"/>
          <w:szCs w:val="26"/>
          <w:rtl/>
        </w:rPr>
      </w:pPr>
      <w:r>
        <w:rPr>
          <w:sz w:val="26"/>
          <w:szCs w:val="26"/>
          <w:rtl/>
        </w:rPr>
        <w:t xml:space="preserve">הנתבע מתגורר בבית אביו בדירה בת 2 חדרים (עמ' 52 ש' 34 – עמ' 53 ש' 5). לדבריו, הכנסתו עומדת על סך של 9,000 ₪ בחודש (עמ' 54 ש' 13). </w:t>
      </w:r>
    </w:p>
    <w:p w:rsidR="005075CF" w:rsidRDefault="005075CF" w:rsidP="00B81E92">
      <w:pPr>
        <w:spacing w:line="360" w:lineRule="auto"/>
        <w:ind w:firstLine="720"/>
        <w:jc w:val="both"/>
        <w:rPr>
          <w:sz w:val="26"/>
          <w:szCs w:val="26"/>
          <w:rtl/>
        </w:rPr>
      </w:pPr>
      <w:r>
        <w:rPr>
          <w:sz w:val="26"/>
          <w:szCs w:val="26"/>
          <w:rtl/>
        </w:rPr>
        <w:t xml:space="preserve">הנתבע הדגיש, כי הוא איננו עובד עוד כנהג מונית, ולדבריו: </w:t>
      </w:r>
    </w:p>
    <w:p w:rsidR="005075CF" w:rsidRDefault="005075CF" w:rsidP="00B81E92">
      <w:pPr>
        <w:spacing w:line="360" w:lineRule="auto"/>
        <w:ind w:firstLine="720"/>
        <w:jc w:val="both"/>
        <w:rPr>
          <w:sz w:val="26"/>
          <w:szCs w:val="26"/>
          <w:rtl/>
        </w:rPr>
      </w:pPr>
      <w:r>
        <w:rPr>
          <w:sz w:val="26"/>
          <w:szCs w:val="26"/>
          <w:rtl/>
        </w:rPr>
        <w:t>"</w:t>
      </w:r>
      <w:r w:rsidRPr="009F5624">
        <w:rPr>
          <w:bCs/>
          <w:sz w:val="26"/>
          <w:szCs w:val="26"/>
          <w:rtl/>
        </w:rPr>
        <w:t>לא יכול להיכנס למונית. אני בחרדה אטומית</w:t>
      </w:r>
      <w:r>
        <w:rPr>
          <w:sz w:val="26"/>
          <w:szCs w:val="26"/>
          <w:rtl/>
        </w:rPr>
        <w:t>" (עמ' 55 ש' 7).</w:t>
      </w:r>
    </w:p>
    <w:p w:rsidR="005075CF" w:rsidRDefault="005075CF" w:rsidP="00B81E92">
      <w:pPr>
        <w:pStyle w:val="ad"/>
        <w:spacing w:line="360" w:lineRule="auto"/>
        <w:ind w:left="1080"/>
        <w:jc w:val="both"/>
        <w:rPr>
          <w:sz w:val="26"/>
          <w:szCs w:val="26"/>
          <w:rtl/>
        </w:rPr>
      </w:pPr>
    </w:p>
    <w:p w:rsidR="005075CF" w:rsidRDefault="005075CF" w:rsidP="00B81E92">
      <w:pPr>
        <w:spacing w:line="360" w:lineRule="auto"/>
        <w:ind w:left="720"/>
        <w:jc w:val="both"/>
        <w:rPr>
          <w:sz w:val="26"/>
          <w:szCs w:val="26"/>
          <w:rtl/>
        </w:rPr>
      </w:pPr>
      <w:r>
        <w:rPr>
          <w:sz w:val="26"/>
          <w:szCs w:val="26"/>
          <w:rtl/>
        </w:rPr>
        <w:lastRenderedPageBreak/>
        <w:t>עיון בתלושי השכר שהציג הנתבע, לחודשים 11/21  עד 2/22, מעלה, כי הוא משתכר בממוצע 9,786 ש"ח. הריני מעמידה אפוא את שכרו של הנתבע על 10,000 ₪ בחודש, שכן אין חולק כי הוא אינו משמש עוד כנהג מונית.</w:t>
      </w:r>
    </w:p>
    <w:p w:rsidR="005075CF" w:rsidRDefault="005075CF" w:rsidP="00B81E92">
      <w:pPr>
        <w:pStyle w:val="ad"/>
        <w:spacing w:line="360" w:lineRule="auto"/>
        <w:jc w:val="both"/>
        <w:rPr>
          <w:sz w:val="26"/>
          <w:szCs w:val="26"/>
        </w:rPr>
      </w:pPr>
    </w:p>
    <w:p w:rsidR="005075CF" w:rsidRDefault="005075CF" w:rsidP="00B81E92">
      <w:pPr>
        <w:pStyle w:val="ad"/>
        <w:numPr>
          <w:ilvl w:val="0"/>
          <w:numId w:val="1"/>
        </w:numPr>
        <w:spacing w:line="360" w:lineRule="auto"/>
        <w:jc w:val="both"/>
        <w:rPr>
          <w:noProof w:val="0"/>
          <w:sz w:val="26"/>
          <w:szCs w:val="26"/>
          <w:rtl/>
        </w:rPr>
      </w:pPr>
      <w:r>
        <w:rPr>
          <w:sz w:val="26"/>
          <w:szCs w:val="26"/>
          <w:rtl/>
        </w:rPr>
        <w:t>אשר לתובעת, זו טענה  כי היא עובדת במשרה חלקית על מנת שלא לשאת בעלות  צהרון, ומשתכרת 3,500 ₪ בחודש (עמ' 30 ש' 22-25). התובעת הוסיפה, כי החלה לעבוד במהלך החודש האחרון בגן פרטי וכי היא משתכרת סך של 500 ₪ נוספים לחודש (עמ' 30-33).</w:t>
      </w:r>
    </w:p>
    <w:p w:rsidR="005075CF" w:rsidRDefault="005075CF" w:rsidP="00B81E92">
      <w:pPr>
        <w:pStyle w:val="ad"/>
        <w:spacing w:line="360" w:lineRule="auto"/>
        <w:ind w:left="1080"/>
        <w:jc w:val="both"/>
        <w:rPr>
          <w:noProof w:val="0"/>
          <w:sz w:val="26"/>
          <w:szCs w:val="26"/>
        </w:rPr>
      </w:pPr>
    </w:p>
    <w:p w:rsidR="005075CF" w:rsidRDefault="005075CF" w:rsidP="00B81E92">
      <w:pPr>
        <w:spacing w:line="360" w:lineRule="auto"/>
        <w:ind w:left="720"/>
        <w:jc w:val="both"/>
        <w:rPr>
          <w:noProof w:val="0"/>
          <w:sz w:val="26"/>
          <w:szCs w:val="26"/>
        </w:rPr>
      </w:pPr>
      <w:r>
        <w:rPr>
          <w:noProof w:val="0"/>
          <w:sz w:val="26"/>
          <w:szCs w:val="26"/>
          <w:rtl/>
        </w:rPr>
        <w:t xml:space="preserve">מתלושי השכר שצירפה, עולה כי שכרה הממוצע של התובעת  לחודשים 8/19 -7/20  עמד על 4,447 ₪ בחודש. לכך יש להוסיף את  הכנסתה הנוספת בסך 1,000 ₪ נוספים, שכן התלוש בגין עבודתה כסייעת התייחס לחודש עבודה  חלקי. מכאן, ששכרה </w:t>
      </w:r>
      <w:r w:rsidR="00350711">
        <w:rPr>
          <w:noProof w:val="0"/>
          <w:sz w:val="26"/>
          <w:szCs w:val="26"/>
          <w:rtl/>
        </w:rPr>
        <w:t>של התובעת עומד על 5,500 ₪ בחודש</w:t>
      </w:r>
      <w:r w:rsidR="00350711">
        <w:rPr>
          <w:rFonts w:hint="cs"/>
          <w:noProof w:val="0"/>
          <w:sz w:val="26"/>
          <w:szCs w:val="26"/>
          <w:rtl/>
        </w:rPr>
        <w:t>.</w:t>
      </w:r>
    </w:p>
    <w:p w:rsidR="005075CF" w:rsidRDefault="005075CF" w:rsidP="00B81E92">
      <w:pPr>
        <w:pStyle w:val="ad"/>
        <w:spacing w:line="360" w:lineRule="auto"/>
        <w:ind w:left="1080"/>
        <w:jc w:val="both"/>
        <w:rPr>
          <w:noProof w:val="0"/>
          <w:sz w:val="26"/>
          <w:szCs w:val="26"/>
          <w:rtl/>
        </w:rPr>
      </w:pPr>
    </w:p>
    <w:p w:rsidR="005075CF" w:rsidRDefault="005075CF" w:rsidP="00923437">
      <w:pPr>
        <w:spacing w:line="360" w:lineRule="auto"/>
        <w:ind w:left="720"/>
        <w:jc w:val="both"/>
        <w:rPr>
          <w:b/>
          <w:noProof w:val="0"/>
          <w:sz w:val="26"/>
          <w:szCs w:val="26"/>
          <w:rtl/>
        </w:rPr>
      </w:pPr>
      <w:r w:rsidRPr="009F5624">
        <w:rPr>
          <w:bCs/>
          <w:noProof w:val="0"/>
          <w:sz w:val="26"/>
          <w:szCs w:val="26"/>
          <w:rtl/>
        </w:rPr>
        <w:t>יחס הכנסות הצדדים הוא 65% לנתבע ו- 35% לתובעת</w:t>
      </w:r>
      <w:r>
        <w:rPr>
          <w:b/>
          <w:noProof w:val="0"/>
          <w:sz w:val="26"/>
          <w:szCs w:val="26"/>
          <w:rtl/>
        </w:rPr>
        <w:t>.</w:t>
      </w:r>
      <w:r w:rsidR="00350711">
        <w:rPr>
          <w:rFonts w:hint="cs"/>
          <w:b/>
          <w:noProof w:val="0"/>
          <w:sz w:val="26"/>
          <w:szCs w:val="26"/>
          <w:rtl/>
        </w:rPr>
        <w:t xml:space="preserve"> אם </w:t>
      </w:r>
      <w:r w:rsidR="00923437">
        <w:rPr>
          <w:rFonts w:hint="cs"/>
          <w:b/>
          <w:noProof w:val="0"/>
          <w:sz w:val="26"/>
          <w:szCs w:val="26"/>
          <w:rtl/>
        </w:rPr>
        <w:t>יילקחו בחשבון הוצאות השכירות של התובעת, מדובר ביחס של 80% לנתבע ו -20% לתובעת, אלא שהתובעת זוכה לעזרה מאמה, ואף בכך יש להתחשב.</w:t>
      </w:r>
    </w:p>
    <w:p w:rsidR="005075CF" w:rsidRDefault="005075CF" w:rsidP="00B81E92">
      <w:pPr>
        <w:pStyle w:val="ad"/>
        <w:spacing w:line="360" w:lineRule="auto"/>
        <w:ind w:left="1080"/>
        <w:jc w:val="both"/>
        <w:rPr>
          <w:noProof w:val="0"/>
          <w:sz w:val="26"/>
          <w:szCs w:val="26"/>
          <w:rtl/>
        </w:rPr>
      </w:pPr>
    </w:p>
    <w:p w:rsidR="005075CF" w:rsidRDefault="005075CF" w:rsidP="00B81E92">
      <w:pPr>
        <w:pStyle w:val="ad"/>
        <w:numPr>
          <w:ilvl w:val="0"/>
          <w:numId w:val="1"/>
        </w:numPr>
        <w:spacing w:before="240" w:after="240" w:line="360" w:lineRule="auto"/>
        <w:jc w:val="both"/>
        <w:rPr>
          <w:rFonts w:ascii="Arial" w:hAnsi="Arial"/>
          <w:noProof w:val="0"/>
          <w:sz w:val="26"/>
          <w:szCs w:val="26"/>
          <w:rtl/>
        </w:rPr>
      </w:pPr>
      <w:r>
        <w:rPr>
          <w:rFonts w:ascii="Arial" w:hAnsi="Arial"/>
          <w:noProof w:val="0"/>
          <w:sz w:val="26"/>
          <w:szCs w:val="26"/>
          <w:rtl/>
        </w:rPr>
        <w:lastRenderedPageBreak/>
        <w:t>לנוכח כל הנתונים שפורטו לעיל, בשים לב לצרכי הקטינים, ליחס הכנסות הצדדים וליחס סדרי השהות, הריני מורה כדלקמן:</w:t>
      </w:r>
    </w:p>
    <w:p w:rsidR="005075CF" w:rsidRDefault="005075CF" w:rsidP="00F6623E">
      <w:pPr>
        <w:pStyle w:val="ad"/>
        <w:numPr>
          <w:ilvl w:val="0"/>
          <w:numId w:val="2"/>
        </w:numPr>
        <w:spacing w:before="240" w:after="240" w:line="360" w:lineRule="auto"/>
        <w:ind w:left="1440" w:right="0"/>
        <w:jc w:val="both"/>
        <w:rPr>
          <w:rFonts w:ascii="Arial" w:hAnsi="Arial"/>
          <w:noProof w:val="0"/>
          <w:sz w:val="26"/>
          <w:szCs w:val="26"/>
          <w:rtl/>
        </w:rPr>
      </w:pPr>
      <w:r>
        <w:rPr>
          <w:rFonts w:ascii="Arial" w:hAnsi="Arial"/>
          <w:noProof w:val="0"/>
          <w:sz w:val="26"/>
          <w:szCs w:val="26"/>
          <w:rtl/>
        </w:rPr>
        <w:t>הנתבע  ישלם למזונות הקטינה א</w:t>
      </w:r>
      <w:r w:rsidR="00F6623E">
        <w:rPr>
          <w:rFonts w:ascii="Arial" w:hAnsi="Arial" w:hint="cs"/>
          <w:noProof w:val="0"/>
          <w:sz w:val="26"/>
          <w:szCs w:val="26"/>
          <w:rtl/>
        </w:rPr>
        <w:t>'</w:t>
      </w:r>
      <w:r>
        <w:rPr>
          <w:rFonts w:ascii="Arial" w:hAnsi="Arial"/>
          <w:noProof w:val="0"/>
          <w:sz w:val="26"/>
          <w:szCs w:val="26"/>
          <w:rtl/>
        </w:rPr>
        <w:t xml:space="preserve"> סך של 2,000 ₪ בחודש עד הגיעה לגיל 6. לאחר גיל 6 יעמדו המזונות על  של 1,300 ₪ בחודש. הסך של 1,300 ₪ בחודש ישולם גם עבור כל אחד מן הקטינים </w:t>
      </w:r>
      <w:r w:rsidR="00F6623E">
        <w:rPr>
          <w:rFonts w:ascii="Arial" w:hAnsi="Arial" w:hint="cs"/>
          <w:noProof w:val="0"/>
          <w:sz w:val="26"/>
          <w:szCs w:val="26"/>
          <w:rtl/>
        </w:rPr>
        <w:t>א.י ו-ל.מ.</w:t>
      </w:r>
    </w:p>
    <w:p w:rsidR="005075CF" w:rsidRDefault="005075CF" w:rsidP="00B81E92">
      <w:pPr>
        <w:pStyle w:val="ad"/>
        <w:numPr>
          <w:ilvl w:val="0"/>
          <w:numId w:val="2"/>
        </w:numPr>
        <w:spacing w:before="240" w:after="240" w:line="360" w:lineRule="auto"/>
        <w:ind w:left="1440" w:right="0"/>
        <w:jc w:val="both"/>
        <w:rPr>
          <w:rFonts w:ascii="Arial" w:hAnsi="Arial"/>
          <w:noProof w:val="0"/>
          <w:sz w:val="26"/>
          <w:szCs w:val="26"/>
        </w:rPr>
      </w:pPr>
      <w:r>
        <w:rPr>
          <w:rFonts w:ascii="Arial" w:hAnsi="Arial"/>
          <w:noProof w:val="0"/>
          <w:sz w:val="26"/>
          <w:szCs w:val="26"/>
          <w:rtl/>
        </w:rPr>
        <w:t>דמי המזונות ישולמו ביום הראשון לכל חודש עבור כל חודש מראש. תשלום ראשון של דמי המזונות השוטפים ישולם בתאריך 1.7.22.</w:t>
      </w:r>
    </w:p>
    <w:p w:rsidR="005075CF" w:rsidRDefault="005075CF" w:rsidP="00B81E92">
      <w:pPr>
        <w:pStyle w:val="ad"/>
        <w:numPr>
          <w:ilvl w:val="0"/>
          <w:numId w:val="2"/>
        </w:numPr>
        <w:spacing w:before="240" w:after="240" w:line="360" w:lineRule="auto"/>
        <w:ind w:left="1440" w:right="0"/>
        <w:jc w:val="both"/>
        <w:rPr>
          <w:rFonts w:ascii="Arial" w:hAnsi="Arial"/>
          <w:noProof w:val="0"/>
          <w:sz w:val="26"/>
          <w:szCs w:val="26"/>
        </w:rPr>
      </w:pPr>
      <w:r>
        <w:rPr>
          <w:rFonts w:ascii="Arial" w:hAnsi="Arial"/>
          <w:noProof w:val="0"/>
          <w:sz w:val="26"/>
          <w:szCs w:val="26"/>
          <w:rtl/>
        </w:rPr>
        <w:t>דמי מזונות הילדים ישולמו עבור כל אחד מהילדים עד  מלאת לו 18 שנה או עד ליום סיום לימודיו בבית הספר התיכון עפ"י המאוחר מבין שני מועדים אלה.</w:t>
      </w:r>
    </w:p>
    <w:p w:rsidR="005075CF" w:rsidRDefault="005075CF" w:rsidP="00B81E92">
      <w:pPr>
        <w:pStyle w:val="ad"/>
        <w:numPr>
          <w:ilvl w:val="0"/>
          <w:numId w:val="2"/>
        </w:numPr>
        <w:spacing w:before="240" w:after="240" w:line="360" w:lineRule="auto"/>
        <w:ind w:left="1440" w:right="0"/>
        <w:jc w:val="both"/>
        <w:rPr>
          <w:rFonts w:ascii="Arial" w:hAnsi="Arial"/>
          <w:noProof w:val="0"/>
          <w:sz w:val="26"/>
          <w:szCs w:val="26"/>
        </w:rPr>
      </w:pPr>
      <w:r>
        <w:rPr>
          <w:rFonts w:ascii="Arial" w:hAnsi="Arial"/>
          <w:noProof w:val="0"/>
          <w:sz w:val="26"/>
          <w:szCs w:val="26"/>
          <w:rtl/>
        </w:rPr>
        <w:t>בתקופה שמסיום תשלום דמי המזונות עפ"י האמור בס"ק ג' דלעיל ועד לסיום שירות החובה הצבאי בצה"ל של כל אחד מהילדים ישלם הנתבע שליש מדמי המזונות.</w:t>
      </w:r>
    </w:p>
    <w:p w:rsidR="005075CF" w:rsidRDefault="005075CF" w:rsidP="00B81E92">
      <w:pPr>
        <w:pStyle w:val="ad"/>
        <w:spacing w:before="240" w:after="240" w:line="360" w:lineRule="auto"/>
        <w:ind w:left="1440"/>
        <w:jc w:val="both"/>
        <w:rPr>
          <w:rFonts w:ascii="Arial" w:hAnsi="Arial"/>
          <w:noProof w:val="0"/>
          <w:sz w:val="26"/>
          <w:szCs w:val="26"/>
        </w:rPr>
      </w:pPr>
      <w:r>
        <w:rPr>
          <w:rFonts w:ascii="Arial" w:hAnsi="Arial"/>
          <w:noProof w:val="0"/>
          <w:sz w:val="26"/>
          <w:szCs w:val="26"/>
          <w:rtl/>
        </w:rPr>
        <w:t>התשלומים בתקופת שירות החובה בצה"ל ישולמו ע"י הנתבע לידי התובעת  כל עת שהילד ממשיך להתגורר בבית התובעת  בתקופת שירותו הצבאי.</w:t>
      </w:r>
    </w:p>
    <w:p w:rsidR="005075CF" w:rsidRDefault="005075CF" w:rsidP="00B81E92">
      <w:pPr>
        <w:pStyle w:val="ad"/>
        <w:spacing w:before="240" w:after="240" w:line="360" w:lineRule="auto"/>
        <w:ind w:left="1440"/>
        <w:jc w:val="both"/>
        <w:rPr>
          <w:rFonts w:ascii="Arial" w:hAnsi="Arial"/>
          <w:noProof w:val="0"/>
          <w:sz w:val="26"/>
          <w:szCs w:val="26"/>
        </w:rPr>
      </w:pPr>
      <w:r>
        <w:rPr>
          <w:rFonts w:ascii="Arial" w:hAnsi="Arial"/>
          <w:noProof w:val="0"/>
          <w:sz w:val="26"/>
          <w:szCs w:val="26"/>
          <w:rtl/>
        </w:rPr>
        <w:t>להסרת ספקות מובהר בזאת כי מגורים בבית התובעת  בעת החופשות מצה"ל יחשבו "כמגורים" לעניין חיוב זה.</w:t>
      </w:r>
    </w:p>
    <w:p w:rsidR="005075CF" w:rsidRDefault="005075CF" w:rsidP="00B81E92">
      <w:pPr>
        <w:pStyle w:val="ad"/>
        <w:numPr>
          <w:ilvl w:val="0"/>
          <w:numId w:val="2"/>
        </w:numPr>
        <w:spacing w:before="240" w:after="240" w:line="360" w:lineRule="auto"/>
        <w:ind w:left="1440" w:right="0"/>
        <w:jc w:val="both"/>
        <w:rPr>
          <w:rFonts w:ascii="Arial" w:hAnsi="Arial"/>
          <w:noProof w:val="0"/>
          <w:sz w:val="26"/>
          <w:szCs w:val="26"/>
          <w:rtl/>
        </w:rPr>
      </w:pPr>
      <w:r>
        <w:rPr>
          <w:rFonts w:ascii="Arial" w:hAnsi="Arial"/>
          <w:noProof w:val="0"/>
          <w:sz w:val="26"/>
          <w:szCs w:val="26"/>
          <w:rtl/>
        </w:rPr>
        <w:t>היה והילד ישרת בצבא אך לא יתגורר בבית התובעת יבוצע התשלום ישירות לידיו.</w:t>
      </w:r>
    </w:p>
    <w:p w:rsidR="005075CF" w:rsidRDefault="005075CF" w:rsidP="00B81E92">
      <w:pPr>
        <w:pStyle w:val="ad"/>
        <w:numPr>
          <w:ilvl w:val="0"/>
          <w:numId w:val="2"/>
        </w:numPr>
        <w:spacing w:before="240" w:after="240" w:line="360" w:lineRule="auto"/>
        <w:ind w:left="1440" w:right="0"/>
        <w:jc w:val="both"/>
        <w:rPr>
          <w:rFonts w:ascii="Arial" w:hAnsi="Arial"/>
          <w:noProof w:val="0"/>
          <w:sz w:val="26"/>
          <w:szCs w:val="26"/>
        </w:rPr>
      </w:pPr>
      <w:r>
        <w:rPr>
          <w:rFonts w:ascii="Arial" w:hAnsi="Arial"/>
          <w:noProof w:val="0"/>
          <w:sz w:val="26"/>
          <w:szCs w:val="26"/>
          <w:rtl/>
        </w:rPr>
        <w:lastRenderedPageBreak/>
        <w:t>דמי המזונות יהיו צמודים למדד המחירים לצרכן שבסיסו מדד חודש 4/22 והם יעודכנו מדי 3 חודשים ללא תשלום הפרשים למפרע, בהתאם למדד האחרון הידוע ביום העדכון.</w:t>
      </w:r>
    </w:p>
    <w:p w:rsidR="005075CF" w:rsidRDefault="005075CF" w:rsidP="00B81E92">
      <w:pPr>
        <w:pStyle w:val="ad"/>
        <w:numPr>
          <w:ilvl w:val="0"/>
          <w:numId w:val="2"/>
        </w:numPr>
        <w:spacing w:before="240" w:after="240" w:line="360" w:lineRule="auto"/>
        <w:ind w:left="1440" w:right="0"/>
        <w:jc w:val="both"/>
        <w:rPr>
          <w:rFonts w:ascii="Arial" w:hAnsi="Arial"/>
          <w:noProof w:val="0"/>
          <w:sz w:val="26"/>
          <w:szCs w:val="26"/>
        </w:rPr>
      </w:pPr>
      <w:r>
        <w:rPr>
          <w:rFonts w:ascii="Arial" w:hAnsi="Arial"/>
          <w:noProof w:val="0"/>
          <w:sz w:val="26"/>
          <w:szCs w:val="26"/>
          <w:rtl/>
        </w:rPr>
        <w:t>פיגור בתשלום דמי המזונות יגרור תשלומי הפרשים כחוק מהיום שהיה מיועד לביצוע התשלום ועד ליום התשלום בפועל.</w:t>
      </w:r>
    </w:p>
    <w:p w:rsidR="005075CF" w:rsidRDefault="005075CF" w:rsidP="00B81E92">
      <w:pPr>
        <w:pStyle w:val="ad"/>
        <w:numPr>
          <w:ilvl w:val="0"/>
          <w:numId w:val="2"/>
        </w:numPr>
        <w:spacing w:before="240" w:after="240" w:line="360" w:lineRule="auto"/>
        <w:ind w:left="1434" w:right="0" w:hanging="357"/>
        <w:jc w:val="both"/>
        <w:rPr>
          <w:rFonts w:ascii="Arial" w:hAnsi="Arial"/>
          <w:noProof w:val="0"/>
          <w:sz w:val="26"/>
          <w:szCs w:val="26"/>
        </w:rPr>
      </w:pPr>
      <w:r>
        <w:rPr>
          <w:rFonts w:ascii="Arial" w:hAnsi="Arial"/>
          <w:noProof w:val="0"/>
          <w:sz w:val="26"/>
          <w:szCs w:val="26"/>
          <w:rtl/>
        </w:rPr>
        <w:t>בנוסף לדמי המזונות האמורים, יחלקו הצדדים בהוצאות הקטינים, ביחס של 60% הנתבע ו- 40% התובעת, כדלקמן:</w:t>
      </w:r>
    </w:p>
    <w:p w:rsidR="005075CF" w:rsidRDefault="005075CF" w:rsidP="00B81E92">
      <w:pPr>
        <w:pStyle w:val="ad"/>
        <w:numPr>
          <w:ilvl w:val="0"/>
          <w:numId w:val="3"/>
        </w:numPr>
        <w:spacing w:before="240" w:after="240" w:line="360" w:lineRule="auto"/>
        <w:ind w:left="2160" w:right="0"/>
        <w:jc w:val="both"/>
        <w:rPr>
          <w:rFonts w:ascii="Arial" w:hAnsi="Arial"/>
          <w:noProof w:val="0"/>
          <w:sz w:val="26"/>
          <w:szCs w:val="26"/>
        </w:rPr>
      </w:pPr>
      <w:r>
        <w:rPr>
          <w:rFonts w:ascii="Arial" w:hAnsi="Arial"/>
          <w:noProof w:val="0"/>
          <w:sz w:val="26"/>
          <w:szCs w:val="26"/>
          <w:rtl/>
        </w:rPr>
        <w:t>הוצאות רפואיות שאינן מכוסות בידי הביטוח הרפואי.</w:t>
      </w:r>
    </w:p>
    <w:p w:rsidR="005075CF" w:rsidRDefault="005075CF" w:rsidP="00B81E92">
      <w:pPr>
        <w:pStyle w:val="ad"/>
        <w:numPr>
          <w:ilvl w:val="0"/>
          <w:numId w:val="3"/>
        </w:numPr>
        <w:spacing w:before="240" w:after="240" w:line="360" w:lineRule="auto"/>
        <w:ind w:left="2160" w:right="0"/>
        <w:jc w:val="both"/>
        <w:rPr>
          <w:rFonts w:ascii="Arial" w:hAnsi="Arial"/>
          <w:noProof w:val="0"/>
          <w:sz w:val="26"/>
          <w:szCs w:val="26"/>
        </w:rPr>
      </w:pPr>
      <w:r>
        <w:rPr>
          <w:rFonts w:ascii="Arial" w:hAnsi="Arial"/>
          <w:noProof w:val="0"/>
          <w:sz w:val="26"/>
          <w:szCs w:val="26"/>
          <w:rtl/>
        </w:rPr>
        <w:t>הוצאות חינוך, לרבות תשלומים למוסד החינוכי, רכישת ציוד וספרי לימוד, ושיעורי עזר, היה ותבוא על כך המלצה של המורה המקצועי ו/או מחנך/כת הכתה ו/או יועץ/צת בית הספר. מהוצאות אלה ינוכה המענק המתקבל מן המל"ל, ככל שתקבל אותו התובעת, וכן צהרון עד סיום כתה ג'.</w:t>
      </w:r>
    </w:p>
    <w:p w:rsidR="005075CF" w:rsidRDefault="005075CF" w:rsidP="00B81E92">
      <w:pPr>
        <w:pStyle w:val="ad"/>
        <w:numPr>
          <w:ilvl w:val="0"/>
          <w:numId w:val="3"/>
        </w:numPr>
        <w:spacing w:before="240" w:after="240" w:line="360" w:lineRule="auto"/>
        <w:ind w:left="2160" w:right="0"/>
        <w:jc w:val="both"/>
        <w:rPr>
          <w:rFonts w:ascii="Arial" w:hAnsi="Arial"/>
          <w:noProof w:val="0"/>
          <w:sz w:val="26"/>
          <w:szCs w:val="26"/>
        </w:rPr>
      </w:pPr>
      <w:r>
        <w:rPr>
          <w:rFonts w:ascii="Arial" w:hAnsi="Arial"/>
          <w:noProof w:val="0"/>
          <w:sz w:val="26"/>
          <w:szCs w:val="26"/>
          <w:rtl/>
        </w:rPr>
        <w:t>הוצאות חוג אחד לכל קטין.</w:t>
      </w:r>
    </w:p>
    <w:p w:rsidR="005075CF" w:rsidRDefault="005075CF" w:rsidP="00B81E92">
      <w:pPr>
        <w:pStyle w:val="ad"/>
        <w:numPr>
          <w:ilvl w:val="0"/>
          <w:numId w:val="3"/>
        </w:numPr>
        <w:spacing w:before="240" w:after="240" w:line="360" w:lineRule="auto"/>
        <w:ind w:left="2160" w:right="0"/>
        <w:jc w:val="both"/>
        <w:rPr>
          <w:rFonts w:ascii="Arial" w:hAnsi="Arial"/>
          <w:noProof w:val="0"/>
          <w:sz w:val="26"/>
          <w:szCs w:val="26"/>
        </w:rPr>
      </w:pPr>
      <w:r>
        <w:rPr>
          <w:rFonts w:ascii="Arial" w:hAnsi="Arial"/>
          <w:noProof w:val="0"/>
          <w:sz w:val="26"/>
          <w:szCs w:val="26"/>
          <w:rtl/>
        </w:rPr>
        <w:t>הוצאות עבור קייטנה בתקופת הקיץ (מחזור אחד בן 3 שבועות של קייטנה רגילה בתעריפים רגילים ומקובלים).</w:t>
      </w:r>
    </w:p>
    <w:p w:rsidR="005075CF" w:rsidRDefault="005075CF" w:rsidP="00B81E92">
      <w:pPr>
        <w:pStyle w:val="ad"/>
        <w:numPr>
          <w:ilvl w:val="0"/>
          <w:numId w:val="2"/>
        </w:numPr>
        <w:spacing w:before="240" w:after="240" w:line="360" w:lineRule="auto"/>
        <w:ind w:left="1440" w:right="0"/>
        <w:jc w:val="both"/>
        <w:rPr>
          <w:rFonts w:ascii="Arial" w:hAnsi="Arial"/>
          <w:noProof w:val="0"/>
          <w:sz w:val="26"/>
          <w:szCs w:val="26"/>
        </w:rPr>
      </w:pPr>
      <w:r>
        <w:rPr>
          <w:rFonts w:ascii="Arial" w:hAnsi="Arial"/>
          <w:noProof w:val="0"/>
          <w:sz w:val="26"/>
          <w:szCs w:val="26"/>
          <w:rtl/>
        </w:rPr>
        <w:t>תשלומי המוסד לביטוח לאומי בגין הילדים ישולמו לידי התובעת ויתווספו לדמי המזונות.</w:t>
      </w:r>
    </w:p>
    <w:p w:rsidR="005075CF" w:rsidRDefault="005075CF" w:rsidP="00B81E92">
      <w:pPr>
        <w:pStyle w:val="ad"/>
        <w:numPr>
          <w:ilvl w:val="0"/>
          <w:numId w:val="2"/>
        </w:numPr>
        <w:spacing w:before="240" w:after="240" w:line="360" w:lineRule="auto"/>
        <w:ind w:left="1440" w:right="0"/>
        <w:jc w:val="both"/>
        <w:rPr>
          <w:rFonts w:ascii="Arial" w:hAnsi="Arial"/>
          <w:noProof w:val="0"/>
          <w:sz w:val="26"/>
          <w:szCs w:val="26"/>
        </w:rPr>
      </w:pPr>
      <w:r>
        <w:rPr>
          <w:rFonts w:ascii="Arial" w:hAnsi="Arial"/>
          <w:noProof w:val="0"/>
          <w:sz w:val="26"/>
          <w:szCs w:val="26"/>
          <w:rtl/>
        </w:rPr>
        <w:t xml:space="preserve"> אשר לדמי המדור, נוכח הנתונים שהובאו בפניי, הריני מעמידה את מדור הקטינים בבית התובעת  על 1,650 ₪. </w:t>
      </w:r>
    </w:p>
    <w:p w:rsidR="005075CF" w:rsidRDefault="005075CF" w:rsidP="00B81E92">
      <w:pPr>
        <w:pStyle w:val="ad"/>
        <w:spacing w:before="240" w:after="240" w:line="360" w:lineRule="auto"/>
        <w:ind w:left="1440"/>
        <w:jc w:val="both"/>
        <w:rPr>
          <w:rFonts w:ascii="Arial" w:hAnsi="Arial"/>
          <w:noProof w:val="0"/>
          <w:sz w:val="26"/>
          <w:szCs w:val="26"/>
        </w:rPr>
      </w:pPr>
      <w:r>
        <w:rPr>
          <w:rFonts w:ascii="Arial" w:hAnsi="Arial"/>
          <w:noProof w:val="0"/>
          <w:sz w:val="26"/>
          <w:szCs w:val="26"/>
          <w:rtl/>
        </w:rPr>
        <w:lastRenderedPageBreak/>
        <w:t xml:space="preserve">בשים לב ליחס ההכנסות וליחס הסדרי השהות (ראו עמ"ש מרכז 31135-07-20 </w:t>
      </w:r>
      <w:r>
        <w:rPr>
          <w:rFonts w:ascii="Arial" w:hAnsi="Arial"/>
          <w:b/>
          <w:noProof w:val="0"/>
          <w:sz w:val="26"/>
          <w:szCs w:val="26"/>
          <w:rtl/>
        </w:rPr>
        <w:t>ש' נ. ש'</w:t>
      </w:r>
      <w:r>
        <w:rPr>
          <w:rFonts w:ascii="Arial" w:hAnsi="Arial"/>
          <w:noProof w:val="0"/>
          <w:sz w:val="26"/>
          <w:szCs w:val="26"/>
          <w:rtl/>
        </w:rPr>
        <w:t>),</w:t>
      </w:r>
      <w:r w:rsidR="00F6623E">
        <w:rPr>
          <w:rFonts w:ascii="Arial" w:hAnsi="Arial"/>
          <w:noProof w:val="0"/>
          <w:sz w:val="26"/>
          <w:szCs w:val="26"/>
          <w:rtl/>
        </w:rPr>
        <w:t xml:space="preserve"> ישלם הנתבע בגין מדורה של א</w:t>
      </w:r>
      <w:r w:rsidR="00F6623E">
        <w:rPr>
          <w:rFonts w:ascii="Arial" w:hAnsi="Arial" w:hint="cs"/>
          <w:noProof w:val="0"/>
          <w:sz w:val="26"/>
          <w:szCs w:val="26"/>
          <w:rtl/>
        </w:rPr>
        <w:t>'</w:t>
      </w:r>
      <w:r>
        <w:rPr>
          <w:rFonts w:ascii="Arial" w:hAnsi="Arial"/>
          <w:noProof w:val="0"/>
          <w:sz w:val="26"/>
          <w:szCs w:val="26"/>
          <w:rtl/>
        </w:rPr>
        <w:t xml:space="preserve">   סך של 550  ₪ בחודש  עד הגיעה לגיל 6. לאחר גיל 6, יעמדו דמי המדור על 300  ₪ בחודש לכל קטין. סך של 300 ₪ בחודש ישול</w:t>
      </w:r>
      <w:r w:rsidR="00F6623E">
        <w:rPr>
          <w:rFonts w:ascii="Arial" w:hAnsi="Arial"/>
          <w:noProof w:val="0"/>
          <w:sz w:val="26"/>
          <w:szCs w:val="26"/>
          <w:rtl/>
        </w:rPr>
        <w:t>ם גם עבור כל אחד מן הקטינים א</w:t>
      </w:r>
      <w:r w:rsidR="00F6623E">
        <w:rPr>
          <w:rFonts w:ascii="Arial" w:hAnsi="Arial" w:hint="cs"/>
          <w:noProof w:val="0"/>
          <w:sz w:val="26"/>
          <w:szCs w:val="26"/>
          <w:rtl/>
        </w:rPr>
        <w:t>.י</w:t>
      </w:r>
      <w:r w:rsidR="00F6623E">
        <w:rPr>
          <w:rFonts w:ascii="Arial" w:hAnsi="Arial"/>
          <w:noProof w:val="0"/>
          <w:sz w:val="26"/>
          <w:szCs w:val="26"/>
          <w:rtl/>
        </w:rPr>
        <w:t xml:space="preserve"> ו</w:t>
      </w:r>
      <w:r w:rsidR="00F6623E">
        <w:rPr>
          <w:rFonts w:ascii="Arial" w:hAnsi="Arial" w:hint="cs"/>
          <w:noProof w:val="0"/>
          <w:sz w:val="26"/>
          <w:szCs w:val="26"/>
          <w:rtl/>
        </w:rPr>
        <w:t>-ל.מ</w:t>
      </w:r>
      <w:r>
        <w:rPr>
          <w:rFonts w:ascii="Arial" w:hAnsi="Arial"/>
          <w:noProof w:val="0"/>
          <w:sz w:val="26"/>
          <w:szCs w:val="26"/>
          <w:rtl/>
        </w:rPr>
        <w:t>.</w:t>
      </w:r>
    </w:p>
    <w:p w:rsidR="005075CF" w:rsidRDefault="005075CF" w:rsidP="00B81E92">
      <w:pPr>
        <w:pStyle w:val="ad"/>
        <w:numPr>
          <w:ilvl w:val="0"/>
          <w:numId w:val="2"/>
        </w:numPr>
        <w:spacing w:before="240" w:after="240" w:line="360" w:lineRule="auto"/>
        <w:ind w:left="1440" w:right="0"/>
        <w:jc w:val="both"/>
        <w:rPr>
          <w:rFonts w:ascii="Arial" w:hAnsi="Arial"/>
          <w:noProof w:val="0"/>
          <w:sz w:val="26"/>
          <w:szCs w:val="26"/>
        </w:rPr>
      </w:pPr>
      <w:r>
        <w:rPr>
          <w:rFonts w:ascii="Arial" w:hAnsi="Arial"/>
          <w:noProof w:val="0"/>
          <w:sz w:val="26"/>
          <w:szCs w:val="26"/>
          <w:rtl/>
        </w:rPr>
        <w:t xml:space="preserve">תוקף החיוב החל ממועד מתן פסק הדין. עד למועד זה תעמוד בעינה ההחלטה למזונות זמניים. </w:t>
      </w:r>
    </w:p>
    <w:p w:rsidR="009F5624" w:rsidRDefault="009F5624" w:rsidP="00B81E92">
      <w:pPr>
        <w:pStyle w:val="ad"/>
        <w:numPr>
          <w:ilvl w:val="0"/>
          <w:numId w:val="2"/>
        </w:numPr>
        <w:spacing w:before="240" w:after="240" w:line="360" w:lineRule="auto"/>
        <w:ind w:left="1440" w:right="0"/>
        <w:jc w:val="both"/>
        <w:rPr>
          <w:rFonts w:ascii="Arial" w:hAnsi="Arial"/>
          <w:noProof w:val="0"/>
          <w:sz w:val="26"/>
          <w:szCs w:val="26"/>
        </w:rPr>
      </w:pPr>
      <w:r>
        <w:rPr>
          <w:rFonts w:ascii="Arial" w:hAnsi="Arial" w:hint="cs"/>
          <w:noProof w:val="0"/>
          <w:sz w:val="26"/>
          <w:szCs w:val="26"/>
          <w:rtl/>
        </w:rPr>
        <w:t>לא מצאתי לערוך שינוי בדמי המזונות בתקופת הקורונה, לנוכח גובה המזונות הזמנים שנפסקו, פערי הכנסות הצדדים ויחס סדרי השהות.</w:t>
      </w:r>
    </w:p>
    <w:p w:rsidR="009F5624" w:rsidRDefault="009F5624" w:rsidP="00B81E92">
      <w:pPr>
        <w:pStyle w:val="ad"/>
        <w:spacing w:before="240" w:after="240" w:line="360" w:lineRule="auto"/>
        <w:ind w:left="1440"/>
        <w:jc w:val="both"/>
        <w:rPr>
          <w:rFonts w:ascii="Arial" w:hAnsi="Arial"/>
          <w:noProof w:val="0"/>
          <w:sz w:val="26"/>
          <w:szCs w:val="26"/>
        </w:rPr>
      </w:pPr>
    </w:p>
    <w:p w:rsidR="005075CF" w:rsidRDefault="005075CF" w:rsidP="00B81E92">
      <w:pPr>
        <w:pStyle w:val="ad"/>
        <w:numPr>
          <w:ilvl w:val="0"/>
          <w:numId w:val="1"/>
        </w:numPr>
        <w:spacing w:line="360" w:lineRule="auto"/>
        <w:jc w:val="both"/>
        <w:rPr>
          <w:noProof w:val="0"/>
          <w:sz w:val="26"/>
          <w:szCs w:val="26"/>
        </w:rPr>
      </w:pPr>
      <w:r>
        <w:rPr>
          <w:noProof w:val="0"/>
          <w:sz w:val="26"/>
          <w:szCs w:val="26"/>
          <w:rtl/>
        </w:rPr>
        <w:t>בהליך זה, אין צו להוצאות.</w:t>
      </w:r>
    </w:p>
    <w:p w:rsidR="005075CF" w:rsidRPr="009F5624" w:rsidRDefault="005075CF" w:rsidP="00B81E92">
      <w:pPr>
        <w:pStyle w:val="ad"/>
        <w:spacing w:line="360" w:lineRule="auto"/>
        <w:jc w:val="both"/>
        <w:rPr>
          <w:noProof w:val="0"/>
          <w:sz w:val="26"/>
          <w:szCs w:val="26"/>
        </w:rPr>
      </w:pPr>
    </w:p>
    <w:p w:rsidR="005075CF" w:rsidRPr="009F5624" w:rsidRDefault="005075CF" w:rsidP="00B81E92">
      <w:pPr>
        <w:spacing w:line="360" w:lineRule="auto"/>
        <w:ind w:firstLine="360"/>
        <w:jc w:val="both"/>
        <w:rPr>
          <w:bCs/>
          <w:noProof w:val="0"/>
          <w:sz w:val="26"/>
          <w:szCs w:val="26"/>
          <w:u w:val="single"/>
          <w:rtl/>
        </w:rPr>
      </w:pPr>
      <w:r w:rsidRPr="009F5624">
        <w:rPr>
          <w:bCs/>
          <w:noProof w:val="0"/>
          <w:sz w:val="26"/>
          <w:szCs w:val="26"/>
          <w:u w:val="single"/>
          <w:rtl/>
        </w:rPr>
        <w:t>התביעות הרכושיות</w:t>
      </w:r>
    </w:p>
    <w:p w:rsidR="005075CF" w:rsidRPr="009F5624" w:rsidRDefault="005075CF" w:rsidP="00B81E92">
      <w:pPr>
        <w:spacing w:line="360" w:lineRule="auto"/>
        <w:ind w:left="720"/>
        <w:jc w:val="both"/>
        <w:rPr>
          <w:bCs/>
          <w:noProof w:val="0"/>
          <w:sz w:val="26"/>
          <w:szCs w:val="26"/>
          <w:u w:val="single"/>
          <w:rtl/>
        </w:rPr>
      </w:pPr>
    </w:p>
    <w:p w:rsidR="005075CF" w:rsidRPr="009F5624" w:rsidRDefault="005075CF" w:rsidP="00B81E92">
      <w:pPr>
        <w:spacing w:line="360" w:lineRule="auto"/>
        <w:ind w:firstLine="360"/>
        <w:jc w:val="both"/>
        <w:rPr>
          <w:bCs/>
          <w:noProof w:val="0"/>
          <w:sz w:val="26"/>
          <w:szCs w:val="26"/>
          <w:u w:val="single"/>
          <w:rtl/>
        </w:rPr>
      </w:pPr>
      <w:r w:rsidRPr="009F5624">
        <w:rPr>
          <w:bCs/>
          <w:noProof w:val="0"/>
          <w:sz w:val="26"/>
          <w:szCs w:val="26"/>
          <w:u w:val="single"/>
          <w:rtl/>
        </w:rPr>
        <w:t xml:space="preserve">תלה"מ 31387-01-20 </w:t>
      </w:r>
    </w:p>
    <w:p w:rsidR="009F5624" w:rsidRDefault="009F5624" w:rsidP="00B81E92">
      <w:pPr>
        <w:spacing w:line="360" w:lineRule="auto"/>
        <w:ind w:firstLine="360"/>
        <w:jc w:val="both"/>
        <w:rPr>
          <w:bCs/>
          <w:noProof w:val="0"/>
          <w:sz w:val="26"/>
          <w:szCs w:val="26"/>
          <w:u w:val="single"/>
          <w:rtl/>
        </w:rPr>
      </w:pPr>
    </w:p>
    <w:p w:rsidR="005075CF" w:rsidRPr="009F5624" w:rsidRDefault="005075CF" w:rsidP="00B81E92">
      <w:pPr>
        <w:spacing w:line="360" w:lineRule="auto"/>
        <w:ind w:firstLine="360"/>
        <w:jc w:val="both"/>
        <w:rPr>
          <w:bCs/>
          <w:noProof w:val="0"/>
          <w:sz w:val="26"/>
          <w:szCs w:val="26"/>
          <w:u w:val="single"/>
          <w:rtl/>
        </w:rPr>
      </w:pPr>
      <w:r w:rsidRPr="009F5624">
        <w:rPr>
          <w:bCs/>
          <w:noProof w:val="0"/>
          <w:sz w:val="26"/>
          <w:szCs w:val="26"/>
          <w:u w:val="single"/>
          <w:rtl/>
        </w:rPr>
        <w:t>טענות התובע</w:t>
      </w:r>
    </w:p>
    <w:p w:rsidR="005075CF" w:rsidRDefault="005075CF" w:rsidP="00B81E92">
      <w:pPr>
        <w:pStyle w:val="ad"/>
        <w:numPr>
          <w:ilvl w:val="0"/>
          <w:numId w:val="1"/>
        </w:numPr>
        <w:spacing w:line="360" w:lineRule="auto"/>
        <w:jc w:val="both"/>
        <w:rPr>
          <w:sz w:val="26"/>
          <w:szCs w:val="26"/>
          <w:rtl/>
        </w:rPr>
      </w:pPr>
      <w:r>
        <w:rPr>
          <w:sz w:val="26"/>
          <w:szCs w:val="26"/>
          <w:rtl/>
        </w:rPr>
        <w:lastRenderedPageBreak/>
        <w:t xml:space="preserve">הצדדים התנהלו בשיתוף מלא בנוגע לכל רכושם ללא קשר למקור הרכוש. כך, עם נישואיהם פתחו הצדדים חשבון בנק משותף בבנק לאומי. במסגרת חשבון זה נוהלו כלל העניינים  הכספיים של הצדדים, ועד לפרוץ הסכסוך לא החזיק איש מהם בחשבון בנק נוסף. </w:t>
      </w:r>
    </w:p>
    <w:p w:rsidR="005075CF" w:rsidRDefault="005075CF" w:rsidP="00B81E92">
      <w:pPr>
        <w:pStyle w:val="ad"/>
        <w:spacing w:line="360" w:lineRule="auto"/>
        <w:ind w:left="1080"/>
        <w:jc w:val="both"/>
        <w:rPr>
          <w:sz w:val="26"/>
          <w:szCs w:val="26"/>
        </w:rPr>
      </w:pPr>
    </w:p>
    <w:p w:rsidR="005075CF" w:rsidRDefault="005075CF" w:rsidP="00923437">
      <w:pPr>
        <w:pStyle w:val="ad"/>
        <w:numPr>
          <w:ilvl w:val="0"/>
          <w:numId w:val="1"/>
        </w:numPr>
        <w:spacing w:line="360" w:lineRule="auto"/>
        <w:jc w:val="both"/>
        <w:rPr>
          <w:sz w:val="26"/>
          <w:szCs w:val="26"/>
        </w:rPr>
      </w:pPr>
      <w:r>
        <w:rPr>
          <w:sz w:val="26"/>
          <w:szCs w:val="26"/>
          <w:rtl/>
        </w:rPr>
        <w:t>במהלך נישואי</w:t>
      </w:r>
      <w:r w:rsidR="00923437">
        <w:rPr>
          <w:rFonts w:hint="cs"/>
          <w:sz w:val="26"/>
          <w:szCs w:val="26"/>
          <w:rtl/>
        </w:rPr>
        <w:t>הם</w:t>
      </w:r>
      <w:r>
        <w:rPr>
          <w:sz w:val="26"/>
          <w:szCs w:val="26"/>
          <w:rtl/>
        </w:rPr>
        <w:t xml:space="preserve">, קיבלו הצדדים  מתנות מהוריהם אשר הפכו למשותפות. כך, העניק אביו של התובע לצדדים סך של  20,000 ₪ אשר שימשו לצורך רכישת רכב, ביחד עם כספים שקיבלו הצדדים מהורי הנתבעת. הרכב נרשם על שם התובע. </w:t>
      </w:r>
    </w:p>
    <w:p w:rsidR="005075CF" w:rsidRDefault="005075CF" w:rsidP="00B81E92">
      <w:pPr>
        <w:spacing w:line="360" w:lineRule="auto"/>
        <w:ind w:left="720"/>
        <w:jc w:val="both"/>
        <w:rPr>
          <w:sz w:val="26"/>
          <w:szCs w:val="26"/>
        </w:rPr>
      </w:pPr>
      <w:r>
        <w:rPr>
          <w:sz w:val="26"/>
          <w:szCs w:val="26"/>
          <w:rtl/>
        </w:rPr>
        <w:t xml:space="preserve">בנוסף, רכש התובע </w:t>
      </w:r>
      <w:r w:rsidR="009F5624">
        <w:rPr>
          <w:rFonts w:hint="cs"/>
          <w:sz w:val="26"/>
          <w:szCs w:val="26"/>
          <w:rtl/>
        </w:rPr>
        <w:t xml:space="preserve">בשנת 2018 </w:t>
      </w:r>
      <w:r>
        <w:rPr>
          <w:sz w:val="26"/>
          <w:szCs w:val="26"/>
          <w:rtl/>
        </w:rPr>
        <w:t xml:space="preserve">רכב מסוג סקודה הרשום על שמו. אביו של התובע העניק לו רשות להשתמש בזכות ציבורית למונית ואף נשא בעלות הוצאת הרישיון של התובע על המונית. ההכנסות מן המונית שימשו את שני הצדדים.  </w:t>
      </w:r>
    </w:p>
    <w:p w:rsidR="005075CF" w:rsidRDefault="005075CF" w:rsidP="00B81E92">
      <w:pPr>
        <w:pStyle w:val="ad"/>
        <w:spacing w:line="360" w:lineRule="auto"/>
        <w:ind w:left="1080"/>
        <w:jc w:val="both"/>
        <w:rPr>
          <w:sz w:val="26"/>
          <w:szCs w:val="26"/>
        </w:rPr>
      </w:pPr>
    </w:p>
    <w:p w:rsidR="005075CF" w:rsidRDefault="005075CF" w:rsidP="00B81E92">
      <w:pPr>
        <w:pStyle w:val="ad"/>
        <w:numPr>
          <w:ilvl w:val="0"/>
          <w:numId w:val="1"/>
        </w:numPr>
        <w:spacing w:line="360" w:lineRule="auto"/>
        <w:jc w:val="both"/>
        <w:rPr>
          <w:sz w:val="26"/>
          <w:szCs w:val="26"/>
        </w:rPr>
      </w:pPr>
      <w:r>
        <w:rPr>
          <w:sz w:val="26"/>
          <w:szCs w:val="26"/>
          <w:rtl/>
        </w:rPr>
        <w:t>בשנת 2014 רכשה אמה של הנתבעת עבור הצדדים זכות לדירה במסגרת קבוצת רכישה (להלן:</w:t>
      </w:r>
      <w:r w:rsidR="00FF64E8">
        <w:rPr>
          <w:rFonts w:hint="cs"/>
          <w:sz w:val="26"/>
          <w:szCs w:val="26"/>
          <w:rtl/>
        </w:rPr>
        <w:t xml:space="preserve"> </w:t>
      </w:r>
      <w:r>
        <w:rPr>
          <w:sz w:val="26"/>
          <w:szCs w:val="26"/>
          <w:rtl/>
        </w:rPr>
        <w:t>"</w:t>
      </w:r>
      <w:r w:rsidRPr="00FF64E8">
        <w:rPr>
          <w:bCs/>
          <w:sz w:val="26"/>
          <w:szCs w:val="26"/>
          <w:rtl/>
        </w:rPr>
        <w:t>הנכס</w:t>
      </w:r>
      <w:r>
        <w:rPr>
          <w:sz w:val="26"/>
          <w:szCs w:val="26"/>
          <w:rtl/>
        </w:rPr>
        <w:t xml:space="preserve">"), תמורת סך של 245,000 ₪. מדובר בזכות לרכישת הדירה בלבד, כאשר ככל שהצדדים </w:t>
      </w:r>
      <w:r w:rsidR="00FF64E8">
        <w:rPr>
          <w:rFonts w:hint="cs"/>
          <w:sz w:val="26"/>
          <w:szCs w:val="26"/>
          <w:rtl/>
        </w:rPr>
        <w:t>י</w:t>
      </w:r>
      <w:r>
        <w:rPr>
          <w:sz w:val="26"/>
          <w:szCs w:val="26"/>
          <w:rtl/>
        </w:rPr>
        <w:t xml:space="preserve">חפצו לרכוש את הדירה, </w:t>
      </w:r>
      <w:r w:rsidR="00FF64E8">
        <w:rPr>
          <w:rFonts w:hint="cs"/>
          <w:sz w:val="26"/>
          <w:szCs w:val="26"/>
          <w:rtl/>
        </w:rPr>
        <w:t>י</w:t>
      </w:r>
      <w:r>
        <w:rPr>
          <w:sz w:val="26"/>
          <w:szCs w:val="26"/>
          <w:rtl/>
        </w:rPr>
        <w:t xml:space="preserve">היה עליהם לשלם את יתר עלויות הבניה בסך של 900,000 ₪ וכן הוצאות שונות נוספות. כך, נטלו הצדדים הלוואה בחשבון המשותף בסך של 60,000 ₪ לצורך תשלום היטל השבחה בגין הנכס. הצדדים </w:t>
      </w:r>
      <w:r w:rsidR="00FF64E8">
        <w:rPr>
          <w:rFonts w:hint="cs"/>
          <w:sz w:val="26"/>
          <w:szCs w:val="26"/>
          <w:rtl/>
        </w:rPr>
        <w:t xml:space="preserve">גם </w:t>
      </w:r>
      <w:r>
        <w:rPr>
          <w:sz w:val="26"/>
          <w:szCs w:val="26"/>
          <w:rtl/>
        </w:rPr>
        <w:t xml:space="preserve">נטלו הלוואה משותפת לצורך רכישת הדירה. </w:t>
      </w:r>
    </w:p>
    <w:p w:rsidR="005075CF" w:rsidRPr="00FF64E8" w:rsidRDefault="005075CF" w:rsidP="00B81E92">
      <w:pPr>
        <w:pStyle w:val="ad"/>
        <w:spacing w:line="360" w:lineRule="auto"/>
        <w:ind w:left="1080"/>
        <w:jc w:val="both"/>
        <w:rPr>
          <w:sz w:val="26"/>
          <w:szCs w:val="26"/>
        </w:rPr>
      </w:pPr>
    </w:p>
    <w:p w:rsidR="005075CF" w:rsidRDefault="005075CF" w:rsidP="00B81E92">
      <w:pPr>
        <w:pStyle w:val="ad"/>
        <w:numPr>
          <w:ilvl w:val="0"/>
          <w:numId w:val="1"/>
        </w:numPr>
        <w:spacing w:line="360" w:lineRule="auto"/>
        <w:jc w:val="both"/>
        <w:rPr>
          <w:sz w:val="26"/>
          <w:szCs w:val="26"/>
        </w:rPr>
      </w:pPr>
      <w:r>
        <w:rPr>
          <w:sz w:val="26"/>
          <w:szCs w:val="26"/>
          <w:rtl/>
        </w:rPr>
        <w:lastRenderedPageBreak/>
        <w:t xml:space="preserve">הצדדים באו לכלל הסכמה, כי הזכות לרכישת הדירה לא תירשם על שם התובע, שכן היה בכוונתם לרשום בעתיד פרויקטים אחרים על שמו. הצדדים שילמו במשותף את ההלוואות שנטלו עבור רכישת הנכס ואף הביאו לעולם שני ילדים לאחר המועד בו נרכש. </w:t>
      </w:r>
    </w:p>
    <w:p w:rsidR="005075CF" w:rsidRDefault="005075CF" w:rsidP="00B81E92">
      <w:pPr>
        <w:pStyle w:val="ad"/>
        <w:spacing w:line="360" w:lineRule="auto"/>
        <w:jc w:val="both"/>
        <w:rPr>
          <w:sz w:val="26"/>
          <w:szCs w:val="26"/>
        </w:rPr>
      </w:pPr>
    </w:p>
    <w:p w:rsidR="005075CF" w:rsidRDefault="005075CF" w:rsidP="00B81E92">
      <w:pPr>
        <w:pStyle w:val="ad"/>
        <w:numPr>
          <w:ilvl w:val="0"/>
          <w:numId w:val="1"/>
        </w:numPr>
        <w:spacing w:line="360" w:lineRule="auto"/>
        <w:jc w:val="both"/>
        <w:rPr>
          <w:sz w:val="26"/>
          <w:szCs w:val="26"/>
          <w:rtl/>
        </w:rPr>
      </w:pPr>
      <w:r>
        <w:rPr>
          <w:sz w:val="26"/>
          <w:szCs w:val="26"/>
          <w:rtl/>
        </w:rPr>
        <w:t>לצדדים חובות  משותפים בהיקפים משמעותיים, בגין רכישת המונית, בגין היטל ההשבחה ובגין יתרת חובה בחשבון. הלוואות שנטל התובע היו ידועות לנתבעת.</w:t>
      </w:r>
    </w:p>
    <w:p w:rsidR="005075CF" w:rsidRDefault="005075CF" w:rsidP="00B81E92">
      <w:pPr>
        <w:pStyle w:val="ad"/>
        <w:spacing w:line="360" w:lineRule="auto"/>
        <w:jc w:val="both"/>
        <w:rPr>
          <w:sz w:val="26"/>
          <w:szCs w:val="26"/>
        </w:rPr>
      </w:pPr>
    </w:p>
    <w:p w:rsidR="005075CF" w:rsidRDefault="005075CF" w:rsidP="00B81E92">
      <w:pPr>
        <w:pStyle w:val="ad"/>
        <w:numPr>
          <w:ilvl w:val="0"/>
          <w:numId w:val="1"/>
        </w:numPr>
        <w:spacing w:line="360" w:lineRule="auto"/>
        <w:jc w:val="both"/>
        <w:rPr>
          <w:sz w:val="26"/>
          <w:szCs w:val="26"/>
          <w:rtl/>
        </w:rPr>
      </w:pPr>
      <w:r>
        <w:rPr>
          <w:sz w:val="26"/>
          <w:szCs w:val="26"/>
          <w:rtl/>
        </w:rPr>
        <w:t xml:space="preserve">בית המשפט התבקש לקבוע כי כלל רכושם של הצדדים, ללא תלות ברישום, הוא משותף, כפי שכל חובות הצדדים  משותפים. </w:t>
      </w:r>
    </w:p>
    <w:p w:rsidR="005075CF" w:rsidRDefault="005075CF" w:rsidP="00B81E92">
      <w:pPr>
        <w:pStyle w:val="ad"/>
        <w:spacing w:line="360" w:lineRule="auto"/>
        <w:jc w:val="both"/>
        <w:rPr>
          <w:sz w:val="26"/>
          <w:szCs w:val="26"/>
        </w:rPr>
      </w:pPr>
    </w:p>
    <w:p w:rsidR="005075CF" w:rsidRPr="00FF64E8" w:rsidRDefault="005075CF" w:rsidP="00B81E92">
      <w:pPr>
        <w:spacing w:line="360" w:lineRule="auto"/>
        <w:ind w:firstLine="360"/>
        <w:jc w:val="both"/>
        <w:rPr>
          <w:bCs/>
          <w:sz w:val="26"/>
          <w:szCs w:val="26"/>
          <w:u w:val="single"/>
          <w:rtl/>
        </w:rPr>
      </w:pPr>
      <w:r w:rsidRPr="00FF64E8">
        <w:rPr>
          <w:bCs/>
          <w:sz w:val="26"/>
          <w:szCs w:val="26"/>
          <w:u w:val="single"/>
          <w:rtl/>
        </w:rPr>
        <w:t>טענות הנתבעת</w:t>
      </w:r>
    </w:p>
    <w:p w:rsidR="005075CF" w:rsidRDefault="005075CF" w:rsidP="00B81E92">
      <w:pPr>
        <w:pStyle w:val="ad"/>
        <w:numPr>
          <w:ilvl w:val="0"/>
          <w:numId w:val="1"/>
        </w:numPr>
        <w:spacing w:line="360" w:lineRule="auto"/>
        <w:jc w:val="both"/>
        <w:rPr>
          <w:sz w:val="26"/>
          <w:szCs w:val="26"/>
          <w:rtl/>
        </w:rPr>
      </w:pPr>
      <w:r>
        <w:rPr>
          <w:sz w:val="26"/>
          <w:szCs w:val="26"/>
          <w:rtl/>
        </w:rPr>
        <w:t>התנהלותו הכלכלית של התובע א</w:t>
      </w:r>
      <w:r w:rsidR="00F6623E">
        <w:rPr>
          <w:sz w:val="26"/>
          <w:szCs w:val="26"/>
          <w:rtl/>
        </w:rPr>
        <w:t>ופינה בפזרנות ובבזבזנות. כחלק מ</w:t>
      </w:r>
      <w:r>
        <w:rPr>
          <w:sz w:val="26"/>
          <w:szCs w:val="26"/>
          <w:rtl/>
        </w:rPr>
        <w:t>ה</w:t>
      </w:r>
      <w:r w:rsidR="00F6623E">
        <w:rPr>
          <w:rFonts w:hint="cs"/>
          <w:sz w:val="26"/>
          <w:szCs w:val="26"/>
          <w:rtl/>
        </w:rPr>
        <w:t>ת</w:t>
      </w:r>
      <w:r>
        <w:rPr>
          <w:sz w:val="26"/>
          <w:szCs w:val="26"/>
          <w:rtl/>
        </w:rPr>
        <w:t xml:space="preserve">נהלות זו,  נהג התובע להחליף מקומות עבודה חדשות לבקרים. </w:t>
      </w:r>
    </w:p>
    <w:p w:rsidR="005075CF" w:rsidRDefault="005075CF" w:rsidP="00B81E92">
      <w:pPr>
        <w:spacing w:line="360" w:lineRule="auto"/>
        <w:ind w:firstLine="720"/>
        <w:jc w:val="both"/>
        <w:rPr>
          <w:sz w:val="26"/>
          <w:szCs w:val="26"/>
        </w:rPr>
      </w:pPr>
      <w:r>
        <w:rPr>
          <w:sz w:val="26"/>
          <w:szCs w:val="26"/>
          <w:rtl/>
        </w:rPr>
        <w:t>בשל כך, נקלעו הצדדים לחובות ונהגו ללוות כספים מאמה של התובעת.</w:t>
      </w:r>
    </w:p>
    <w:p w:rsidR="005075CF" w:rsidRDefault="005075CF" w:rsidP="00B81E92">
      <w:pPr>
        <w:spacing w:line="360" w:lineRule="auto"/>
        <w:ind w:left="720"/>
        <w:jc w:val="both"/>
        <w:rPr>
          <w:sz w:val="26"/>
          <w:szCs w:val="26"/>
          <w:rtl/>
        </w:rPr>
      </w:pPr>
      <w:r>
        <w:rPr>
          <w:sz w:val="26"/>
          <w:szCs w:val="26"/>
          <w:rtl/>
        </w:rPr>
        <w:lastRenderedPageBreak/>
        <w:t xml:space="preserve">בחודש 6/18 רכש התובע מונית חדשה, ונטל הלוואות לצורך מימון הרכישה. ההלוואות הללו לא היו ידועות לנתבעת והיא לא הסכימה כי יינטלו. </w:t>
      </w:r>
    </w:p>
    <w:p w:rsidR="005075CF" w:rsidRDefault="005075CF" w:rsidP="00B81E92">
      <w:pPr>
        <w:spacing w:line="360" w:lineRule="auto"/>
        <w:ind w:left="720"/>
        <w:jc w:val="both"/>
        <w:rPr>
          <w:sz w:val="26"/>
          <w:szCs w:val="26"/>
          <w:rtl/>
        </w:rPr>
      </w:pPr>
      <w:r>
        <w:rPr>
          <w:sz w:val="26"/>
          <w:szCs w:val="26"/>
          <w:rtl/>
        </w:rPr>
        <w:t>מעבר לכך, התובע השתכר כ- 30,000 ₪ לחודש, והעלים בשנים האחרונות חלק ניכר מהכנסותיו.</w:t>
      </w:r>
    </w:p>
    <w:p w:rsidR="005075CF" w:rsidRDefault="005075CF" w:rsidP="00B81E92">
      <w:pPr>
        <w:spacing w:line="360" w:lineRule="auto"/>
        <w:ind w:left="720"/>
        <w:jc w:val="both"/>
        <w:rPr>
          <w:sz w:val="26"/>
          <w:szCs w:val="26"/>
          <w:rtl/>
        </w:rPr>
      </w:pPr>
    </w:p>
    <w:p w:rsidR="005075CF" w:rsidRDefault="00FF64E8" w:rsidP="00B81E92">
      <w:pPr>
        <w:pStyle w:val="ad"/>
        <w:numPr>
          <w:ilvl w:val="0"/>
          <w:numId w:val="1"/>
        </w:numPr>
        <w:spacing w:line="360" w:lineRule="auto"/>
        <w:jc w:val="both"/>
        <w:rPr>
          <w:sz w:val="26"/>
          <w:szCs w:val="26"/>
        </w:rPr>
      </w:pPr>
      <w:r>
        <w:rPr>
          <w:rFonts w:hint="cs"/>
          <w:sz w:val="26"/>
          <w:szCs w:val="26"/>
          <w:rtl/>
        </w:rPr>
        <w:t xml:space="preserve">הנתבעת העלתה טענה  כי </w:t>
      </w:r>
      <w:r w:rsidR="005075CF">
        <w:rPr>
          <w:sz w:val="26"/>
          <w:szCs w:val="26"/>
          <w:rtl/>
        </w:rPr>
        <w:t xml:space="preserve">הצדדים ניהלו שני חשבונות משותפים, אולם התייחסה   בפועל לקיומו של חשבון בנק משותף אחד. לטענתה, לחשבון זה שויך כרטיס אשראי אחד בלבד, אשר היה בשימושו של התובע. </w:t>
      </w:r>
    </w:p>
    <w:p w:rsidR="005075CF" w:rsidRDefault="005075CF" w:rsidP="00B81E92">
      <w:pPr>
        <w:pStyle w:val="ad"/>
        <w:spacing w:line="360" w:lineRule="auto"/>
        <w:jc w:val="both"/>
        <w:rPr>
          <w:sz w:val="26"/>
          <w:szCs w:val="26"/>
        </w:rPr>
      </w:pPr>
    </w:p>
    <w:p w:rsidR="005075CF" w:rsidRDefault="005075CF" w:rsidP="00B81E92">
      <w:pPr>
        <w:pStyle w:val="ad"/>
        <w:numPr>
          <w:ilvl w:val="0"/>
          <w:numId w:val="1"/>
        </w:numPr>
        <w:spacing w:line="360" w:lineRule="auto"/>
        <w:jc w:val="both"/>
        <w:rPr>
          <w:sz w:val="26"/>
          <w:szCs w:val="26"/>
          <w:rtl/>
        </w:rPr>
      </w:pPr>
      <w:r>
        <w:rPr>
          <w:sz w:val="26"/>
          <w:szCs w:val="26"/>
          <w:rtl/>
        </w:rPr>
        <w:t xml:space="preserve">הצדדים צברו זכויות סוציאליות, אולם אין לחלקן באופן שיוויוני, שכן התובע החליף את מקומות עבודתו מעת לעת ולא צבר זכויות סוציאליות.  משכך, ביקשה הנתבעת לשמור על זכויותיה ולא לחלוק בהן. </w:t>
      </w:r>
    </w:p>
    <w:p w:rsidR="005075CF" w:rsidRDefault="005075CF" w:rsidP="00B81E92">
      <w:pPr>
        <w:pStyle w:val="ad"/>
        <w:spacing w:line="360" w:lineRule="auto"/>
        <w:jc w:val="both"/>
        <w:rPr>
          <w:sz w:val="26"/>
          <w:szCs w:val="26"/>
        </w:rPr>
      </w:pPr>
    </w:p>
    <w:p w:rsidR="005075CF" w:rsidRDefault="005075CF" w:rsidP="00B81E92">
      <w:pPr>
        <w:pStyle w:val="ad"/>
        <w:numPr>
          <w:ilvl w:val="0"/>
          <w:numId w:val="1"/>
        </w:numPr>
        <w:spacing w:line="360" w:lineRule="auto"/>
        <w:jc w:val="both"/>
        <w:rPr>
          <w:sz w:val="26"/>
          <w:szCs w:val="26"/>
          <w:rtl/>
        </w:rPr>
      </w:pPr>
      <w:r>
        <w:rPr>
          <w:sz w:val="26"/>
          <w:szCs w:val="26"/>
          <w:rtl/>
        </w:rPr>
        <w:t xml:space="preserve">לצדדים מונית מסוג סקודה בגינה ניטלו הלוואות  מהחשבון המשותף על דעת התובע בלבד, כך שיש לקבוע כי כלל הסכומים ששולמו בגין המונית עד למועד הקרע יושתו על התובע בלבד. </w:t>
      </w:r>
    </w:p>
    <w:p w:rsidR="005075CF" w:rsidRDefault="005075CF" w:rsidP="00B81E92">
      <w:pPr>
        <w:pStyle w:val="ad"/>
        <w:spacing w:line="360" w:lineRule="auto"/>
        <w:jc w:val="both"/>
        <w:rPr>
          <w:sz w:val="26"/>
          <w:szCs w:val="26"/>
        </w:rPr>
      </w:pPr>
    </w:p>
    <w:p w:rsidR="005075CF" w:rsidRDefault="005075CF" w:rsidP="00B81E92">
      <w:pPr>
        <w:pStyle w:val="ad"/>
        <w:numPr>
          <w:ilvl w:val="0"/>
          <w:numId w:val="1"/>
        </w:numPr>
        <w:spacing w:line="360" w:lineRule="auto"/>
        <w:jc w:val="both"/>
        <w:rPr>
          <w:sz w:val="26"/>
          <w:szCs w:val="26"/>
          <w:rtl/>
        </w:rPr>
      </w:pPr>
      <w:r>
        <w:rPr>
          <w:sz w:val="26"/>
          <w:szCs w:val="26"/>
          <w:rtl/>
        </w:rPr>
        <w:lastRenderedPageBreak/>
        <w:t xml:space="preserve">הנכס הוא למעשה זכות בקרקע חקלאית האמורה להיות מופשרת לבניה בהמשך. רישום הנכס על שם הנתבעת בלבד היה מכוון ולא מקרי, שכן מדובר במתנה שניתנה לנתבעת מאמה. הרישום איננו משקף רצון לאפשר לתובע  לרכוש זכויות אחרות בעצמו, ומדובר בטענות אשר עלו לראשונה בתביעתו. </w:t>
      </w:r>
    </w:p>
    <w:p w:rsidR="005075CF" w:rsidRDefault="005075CF" w:rsidP="00B81E92">
      <w:pPr>
        <w:pStyle w:val="ad"/>
        <w:spacing w:line="360" w:lineRule="auto"/>
        <w:jc w:val="both"/>
        <w:rPr>
          <w:sz w:val="26"/>
          <w:szCs w:val="26"/>
        </w:rPr>
      </w:pPr>
    </w:p>
    <w:p w:rsidR="005075CF" w:rsidRDefault="005075CF" w:rsidP="00B81E92">
      <w:pPr>
        <w:pStyle w:val="ad"/>
        <w:numPr>
          <w:ilvl w:val="0"/>
          <w:numId w:val="1"/>
        </w:numPr>
        <w:spacing w:line="360" w:lineRule="auto"/>
        <w:jc w:val="both"/>
        <w:rPr>
          <w:sz w:val="26"/>
          <w:szCs w:val="26"/>
          <w:rtl/>
        </w:rPr>
      </w:pPr>
      <w:r>
        <w:rPr>
          <w:sz w:val="26"/>
          <w:szCs w:val="26"/>
          <w:rtl/>
        </w:rPr>
        <w:t>התשלום המשותף בגין היטל ההשבחה יילקח בחשבון במסגרת האיזון הכולל בין הצדדים.</w:t>
      </w:r>
    </w:p>
    <w:p w:rsidR="005075CF" w:rsidRDefault="005075CF" w:rsidP="00B81E92">
      <w:pPr>
        <w:pStyle w:val="ad"/>
        <w:spacing w:line="360" w:lineRule="auto"/>
        <w:jc w:val="both"/>
        <w:rPr>
          <w:sz w:val="26"/>
          <w:szCs w:val="26"/>
        </w:rPr>
      </w:pPr>
    </w:p>
    <w:p w:rsidR="005075CF" w:rsidRDefault="005075CF" w:rsidP="00B81E92">
      <w:pPr>
        <w:pStyle w:val="ad"/>
        <w:numPr>
          <w:ilvl w:val="0"/>
          <w:numId w:val="1"/>
        </w:numPr>
        <w:spacing w:line="360" w:lineRule="auto"/>
        <w:jc w:val="both"/>
        <w:rPr>
          <w:sz w:val="26"/>
          <w:szCs w:val="26"/>
          <w:rtl/>
        </w:rPr>
      </w:pPr>
      <w:r>
        <w:rPr>
          <w:sz w:val="26"/>
          <w:szCs w:val="26"/>
          <w:rtl/>
        </w:rPr>
        <w:t>לתובע מוניטין עסקי אישי ופוטנציאל השתכרות אשר יש לכמת במסגרת האיזון בין הצדדים, לנוכח ההבדל התהומי בכושר ההשתכרות שלהם.</w:t>
      </w:r>
    </w:p>
    <w:p w:rsidR="005075CF" w:rsidRDefault="005075CF" w:rsidP="00B81E92">
      <w:pPr>
        <w:pStyle w:val="ad"/>
        <w:spacing w:line="360" w:lineRule="auto"/>
        <w:jc w:val="both"/>
        <w:rPr>
          <w:sz w:val="26"/>
          <w:szCs w:val="26"/>
        </w:rPr>
      </w:pPr>
    </w:p>
    <w:p w:rsidR="005075CF" w:rsidRDefault="005075CF" w:rsidP="00B81E92">
      <w:pPr>
        <w:spacing w:line="360" w:lineRule="auto"/>
        <w:jc w:val="both"/>
        <w:rPr>
          <w:sz w:val="26"/>
          <w:szCs w:val="26"/>
          <w:rtl/>
        </w:rPr>
      </w:pPr>
    </w:p>
    <w:p w:rsidR="005075CF" w:rsidRPr="00FF64E8" w:rsidRDefault="005075CF" w:rsidP="00B81E92">
      <w:pPr>
        <w:spacing w:line="360" w:lineRule="auto"/>
        <w:ind w:firstLine="360"/>
        <w:jc w:val="both"/>
        <w:rPr>
          <w:bCs/>
          <w:sz w:val="26"/>
          <w:szCs w:val="26"/>
          <w:u w:val="single"/>
          <w:rtl/>
        </w:rPr>
      </w:pPr>
      <w:r w:rsidRPr="00FF64E8">
        <w:rPr>
          <w:bCs/>
          <w:sz w:val="26"/>
          <w:szCs w:val="26"/>
          <w:u w:val="single"/>
          <w:rtl/>
        </w:rPr>
        <w:t>התביעה בתלה"מ 33813-07-21</w:t>
      </w:r>
    </w:p>
    <w:p w:rsidR="005075CF" w:rsidRPr="00FF64E8" w:rsidRDefault="005075CF" w:rsidP="00B81E92">
      <w:pPr>
        <w:spacing w:line="360" w:lineRule="auto"/>
        <w:jc w:val="both"/>
        <w:rPr>
          <w:bCs/>
          <w:sz w:val="26"/>
          <w:szCs w:val="26"/>
          <w:u w:val="single"/>
          <w:rtl/>
        </w:rPr>
      </w:pPr>
    </w:p>
    <w:p w:rsidR="005075CF" w:rsidRPr="00FF64E8" w:rsidRDefault="005075CF" w:rsidP="00B81E92">
      <w:pPr>
        <w:spacing w:line="360" w:lineRule="auto"/>
        <w:ind w:firstLine="360"/>
        <w:jc w:val="both"/>
        <w:rPr>
          <w:bCs/>
          <w:sz w:val="26"/>
          <w:szCs w:val="26"/>
          <w:u w:val="single"/>
          <w:rtl/>
        </w:rPr>
      </w:pPr>
      <w:r w:rsidRPr="00FF64E8">
        <w:rPr>
          <w:bCs/>
          <w:sz w:val="26"/>
          <w:szCs w:val="26"/>
          <w:u w:val="single"/>
          <w:rtl/>
        </w:rPr>
        <w:t xml:space="preserve">טענות התובעת </w:t>
      </w:r>
    </w:p>
    <w:p w:rsidR="005075CF" w:rsidRDefault="005075CF" w:rsidP="00B81E92">
      <w:pPr>
        <w:pStyle w:val="ad"/>
        <w:numPr>
          <w:ilvl w:val="0"/>
          <w:numId w:val="1"/>
        </w:numPr>
        <w:spacing w:line="360" w:lineRule="auto"/>
        <w:jc w:val="both"/>
        <w:rPr>
          <w:sz w:val="26"/>
          <w:szCs w:val="26"/>
          <w:rtl/>
        </w:rPr>
      </w:pPr>
      <w:r>
        <w:rPr>
          <w:sz w:val="26"/>
          <w:szCs w:val="26"/>
          <w:rtl/>
        </w:rPr>
        <w:lastRenderedPageBreak/>
        <w:t xml:space="preserve">מעבר לטענות שהעלתה בכתב הגנתה, ושהובאו לעיל, הוסיפה התובעת </w:t>
      </w:r>
      <w:r w:rsidR="00923437">
        <w:rPr>
          <w:rFonts w:hint="cs"/>
          <w:sz w:val="26"/>
          <w:szCs w:val="26"/>
          <w:rtl/>
        </w:rPr>
        <w:t xml:space="preserve">ופירטה </w:t>
      </w:r>
      <w:r>
        <w:rPr>
          <w:sz w:val="26"/>
          <w:szCs w:val="26"/>
          <w:rtl/>
        </w:rPr>
        <w:t>בתביעתה, כי עוד טרם נישואי הצדדים, היה בבעלות התובעת חשבון חיסכון בבנק הפועלים, שנפתח ביום 1.6.98, ונצברו בו כספים בגובה 93,207 ₪, נכון למועד סגירת החשבון ביום 31.3.14.</w:t>
      </w:r>
    </w:p>
    <w:p w:rsidR="005075CF" w:rsidRDefault="005075CF" w:rsidP="00B81E92">
      <w:pPr>
        <w:spacing w:line="360" w:lineRule="auto"/>
        <w:ind w:left="720"/>
        <w:jc w:val="both"/>
        <w:rPr>
          <w:sz w:val="26"/>
          <w:szCs w:val="26"/>
          <w:rtl/>
        </w:rPr>
      </w:pPr>
      <w:r>
        <w:rPr>
          <w:sz w:val="26"/>
          <w:szCs w:val="26"/>
          <w:rtl/>
        </w:rPr>
        <w:t>לתובעת היו, בנוסף, קופות גמל בהן נצבר סך כולל של 116,434 ₪, מיום 1.1.10 ועד ליום 31.12.10.</w:t>
      </w:r>
    </w:p>
    <w:p w:rsidR="005075CF" w:rsidRDefault="005075CF" w:rsidP="00B81E92">
      <w:pPr>
        <w:spacing w:line="360" w:lineRule="auto"/>
        <w:ind w:firstLine="720"/>
        <w:jc w:val="both"/>
        <w:rPr>
          <w:sz w:val="26"/>
          <w:szCs w:val="26"/>
          <w:rtl/>
        </w:rPr>
      </w:pPr>
      <w:r>
        <w:rPr>
          <w:sz w:val="26"/>
          <w:szCs w:val="26"/>
          <w:rtl/>
        </w:rPr>
        <w:t>מדובר בכספים בסכום כולל של 209,641 ₪.</w:t>
      </w:r>
    </w:p>
    <w:p w:rsidR="005075CF" w:rsidRDefault="005075CF" w:rsidP="00B81E92">
      <w:pPr>
        <w:spacing w:line="360" w:lineRule="auto"/>
        <w:jc w:val="both"/>
        <w:rPr>
          <w:sz w:val="26"/>
          <w:szCs w:val="26"/>
          <w:rtl/>
        </w:rPr>
      </w:pPr>
    </w:p>
    <w:p w:rsidR="005075CF" w:rsidRDefault="005075CF" w:rsidP="00B81E92">
      <w:pPr>
        <w:pStyle w:val="ad"/>
        <w:numPr>
          <w:ilvl w:val="0"/>
          <w:numId w:val="1"/>
        </w:numPr>
        <w:spacing w:line="360" w:lineRule="auto"/>
        <w:jc w:val="both"/>
        <w:rPr>
          <w:sz w:val="26"/>
          <w:szCs w:val="26"/>
          <w:rtl/>
        </w:rPr>
      </w:pPr>
      <w:r>
        <w:rPr>
          <w:sz w:val="26"/>
          <w:szCs w:val="26"/>
          <w:rtl/>
        </w:rPr>
        <w:t>בבעלות התובעת היה גם חשבון בנק בבנק לאומי, אליו צורף הנתבע לאחר נישואי הצדדים. חשבון זה הפך להיות</w:t>
      </w:r>
      <w:r>
        <w:rPr>
          <w:rFonts w:hint="cs"/>
          <w:sz w:val="26"/>
          <w:szCs w:val="26"/>
        </w:rPr>
        <w:t xml:space="preserve"> </w:t>
      </w:r>
      <w:r>
        <w:rPr>
          <w:sz w:val="26"/>
          <w:szCs w:val="26"/>
          <w:rtl/>
        </w:rPr>
        <w:t>חשבונם המשותף של הצדדים. אולם, הכספים בחשבון החיסכון ובקופות הגמל נותרו בבעלות התובעת והיא לא שיתפה בהם את הנתבע.</w:t>
      </w:r>
    </w:p>
    <w:p w:rsidR="005075CF" w:rsidRDefault="005075CF" w:rsidP="00B81E92">
      <w:pPr>
        <w:spacing w:line="360" w:lineRule="auto"/>
        <w:jc w:val="both"/>
        <w:rPr>
          <w:sz w:val="26"/>
          <w:szCs w:val="26"/>
          <w:rtl/>
        </w:rPr>
      </w:pPr>
    </w:p>
    <w:p w:rsidR="005075CF" w:rsidRDefault="005075CF" w:rsidP="00B81E92">
      <w:pPr>
        <w:pStyle w:val="ad"/>
        <w:numPr>
          <w:ilvl w:val="0"/>
          <w:numId w:val="1"/>
        </w:numPr>
        <w:spacing w:line="360" w:lineRule="auto"/>
        <w:jc w:val="both"/>
        <w:rPr>
          <w:sz w:val="26"/>
          <w:szCs w:val="26"/>
          <w:rtl/>
        </w:rPr>
      </w:pPr>
      <w:r>
        <w:rPr>
          <w:sz w:val="26"/>
          <w:szCs w:val="26"/>
          <w:rtl/>
        </w:rPr>
        <w:t>בראשית שנת 2014 רכשה התובעת את הנכס, תמורת 209,000 ₪. הכספים שצברה שימשו לצורך הרכישה, הם נפדו מחשבון החיסכון ומקופות הגמל, והועברו לחשבון המשותף, ממנו בוצע התשלום. החשבון המשותף שימש כתחנת מעבר, ותו לא.</w:t>
      </w:r>
    </w:p>
    <w:p w:rsidR="005075CF" w:rsidRDefault="005075CF" w:rsidP="00B81E92">
      <w:pPr>
        <w:spacing w:line="360" w:lineRule="auto"/>
        <w:ind w:left="720"/>
        <w:jc w:val="both"/>
        <w:rPr>
          <w:sz w:val="26"/>
          <w:szCs w:val="26"/>
        </w:rPr>
      </w:pPr>
      <w:r>
        <w:rPr>
          <w:sz w:val="26"/>
          <w:szCs w:val="26"/>
          <w:rtl/>
        </w:rPr>
        <w:t>כספי החיסכון הועברו לחשבון המשותף ביום 6.3.14. מתוכם, הועבר ביום 19.5.14 סך של 42,300 לטובת רכישת הנכס.</w:t>
      </w:r>
    </w:p>
    <w:p w:rsidR="005075CF" w:rsidRDefault="005075CF" w:rsidP="00B81E92">
      <w:pPr>
        <w:pStyle w:val="ad"/>
        <w:spacing w:line="360" w:lineRule="auto"/>
        <w:jc w:val="both"/>
        <w:rPr>
          <w:sz w:val="26"/>
          <w:szCs w:val="26"/>
        </w:rPr>
      </w:pPr>
    </w:p>
    <w:p w:rsidR="005075CF" w:rsidRDefault="005075CF" w:rsidP="00B81E92">
      <w:pPr>
        <w:pStyle w:val="ad"/>
        <w:numPr>
          <w:ilvl w:val="0"/>
          <w:numId w:val="1"/>
        </w:numPr>
        <w:spacing w:line="360" w:lineRule="auto"/>
        <w:jc w:val="both"/>
        <w:rPr>
          <w:sz w:val="26"/>
          <w:szCs w:val="26"/>
          <w:rtl/>
        </w:rPr>
      </w:pPr>
      <w:r>
        <w:rPr>
          <w:sz w:val="26"/>
          <w:szCs w:val="26"/>
          <w:rtl/>
        </w:rPr>
        <w:lastRenderedPageBreak/>
        <w:t xml:space="preserve">בנוסף, העבירה אמה של התובעת לחשבון המשותף סך כולל של 10,000 ₪ ביום 1.8.14 וביום 3.8.14. </w:t>
      </w:r>
    </w:p>
    <w:p w:rsidR="005075CF" w:rsidRDefault="005075CF" w:rsidP="00B81E92">
      <w:pPr>
        <w:spacing w:line="360" w:lineRule="auto"/>
        <w:ind w:left="720"/>
        <w:jc w:val="both"/>
        <w:rPr>
          <w:sz w:val="26"/>
          <w:szCs w:val="26"/>
        </w:rPr>
      </w:pPr>
      <w:r>
        <w:rPr>
          <w:sz w:val="26"/>
          <w:szCs w:val="26"/>
          <w:rtl/>
        </w:rPr>
        <w:t>ביום 10.8.14 פדתה התובעת את הכספים מקופות הגמל לחשבון המשותף, וביום 19.8.14 העבירה את הכספים למשרד עו"ד שטיפל ברכישת הנכס.</w:t>
      </w:r>
    </w:p>
    <w:p w:rsidR="005075CF" w:rsidRDefault="005075CF" w:rsidP="0037345C">
      <w:pPr>
        <w:pStyle w:val="ad"/>
        <w:spacing w:line="360" w:lineRule="auto"/>
        <w:jc w:val="both"/>
        <w:rPr>
          <w:sz w:val="26"/>
          <w:szCs w:val="26"/>
          <w:rtl/>
        </w:rPr>
      </w:pPr>
      <w:r>
        <w:rPr>
          <w:sz w:val="26"/>
          <w:szCs w:val="26"/>
          <w:rtl/>
        </w:rPr>
        <w:t>אמה של התובעת הוסיפה והעבירה לחשבון הבנק המשותף סך  של 20,000 ₪ ביום 21.8.22 סכום זה ש</w:t>
      </w:r>
      <w:r w:rsidR="0037345C">
        <w:rPr>
          <w:sz w:val="26"/>
          <w:szCs w:val="26"/>
          <w:rtl/>
        </w:rPr>
        <w:t>ימש לצורך תשלום מס רכישה בגין ה</w:t>
      </w:r>
      <w:r w:rsidR="0037345C">
        <w:rPr>
          <w:rFonts w:hint="cs"/>
          <w:sz w:val="26"/>
          <w:szCs w:val="26"/>
          <w:rtl/>
        </w:rPr>
        <w:t>נכס</w:t>
      </w:r>
      <w:r>
        <w:rPr>
          <w:sz w:val="26"/>
          <w:szCs w:val="26"/>
          <w:rtl/>
        </w:rPr>
        <w:t>.</w:t>
      </w:r>
    </w:p>
    <w:p w:rsidR="005075CF" w:rsidRDefault="005075CF" w:rsidP="00B81E92">
      <w:pPr>
        <w:pStyle w:val="ad"/>
        <w:spacing w:line="360" w:lineRule="auto"/>
        <w:jc w:val="both"/>
        <w:rPr>
          <w:sz w:val="26"/>
          <w:szCs w:val="26"/>
          <w:rtl/>
        </w:rPr>
      </w:pPr>
      <w:r>
        <w:rPr>
          <w:sz w:val="26"/>
          <w:szCs w:val="26"/>
          <w:rtl/>
        </w:rPr>
        <w:t>היטל השבחה ששולם במצעות הלוואה שנטלו הצדדים אינו יוצר זכות קניינית בנכס.</w:t>
      </w:r>
    </w:p>
    <w:p w:rsidR="005075CF" w:rsidRDefault="005075CF" w:rsidP="00B81E92">
      <w:pPr>
        <w:pStyle w:val="ad"/>
        <w:spacing w:line="360" w:lineRule="auto"/>
        <w:ind w:left="1080"/>
        <w:jc w:val="both"/>
        <w:rPr>
          <w:sz w:val="26"/>
          <w:szCs w:val="26"/>
        </w:rPr>
      </w:pPr>
    </w:p>
    <w:p w:rsidR="005075CF" w:rsidRDefault="005075CF" w:rsidP="00B81E92">
      <w:pPr>
        <w:pStyle w:val="ad"/>
        <w:numPr>
          <w:ilvl w:val="0"/>
          <w:numId w:val="1"/>
        </w:numPr>
        <w:spacing w:line="360" w:lineRule="auto"/>
        <w:jc w:val="both"/>
        <w:rPr>
          <w:sz w:val="26"/>
          <w:szCs w:val="26"/>
        </w:rPr>
      </w:pPr>
      <w:r>
        <w:rPr>
          <w:sz w:val="26"/>
          <w:szCs w:val="26"/>
          <w:rtl/>
        </w:rPr>
        <w:t>בנסיבות שפורטו לעיל, מהן עולה באופן ברור כי התובעת יצרה הפרדה ברורה של הכספים שצברה טרם נישואי הצדדים, והיות שכספים אלה שימשו לצורך רכישת הנכס, יש לקבוע כי הנכס בבעלות התובעת בלבד ואינו משותף, תוך הפעלת שיקולי צדק.</w:t>
      </w:r>
    </w:p>
    <w:p w:rsidR="005075CF" w:rsidRDefault="005075CF" w:rsidP="00B81E92">
      <w:pPr>
        <w:pStyle w:val="ad"/>
        <w:spacing w:line="360" w:lineRule="auto"/>
        <w:jc w:val="both"/>
        <w:rPr>
          <w:sz w:val="26"/>
          <w:szCs w:val="26"/>
        </w:rPr>
      </w:pPr>
    </w:p>
    <w:p w:rsidR="005075CF" w:rsidRPr="00B81E92" w:rsidRDefault="005075CF" w:rsidP="00B81E92">
      <w:pPr>
        <w:spacing w:line="360" w:lineRule="auto"/>
        <w:ind w:firstLine="360"/>
        <w:jc w:val="both"/>
        <w:rPr>
          <w:bCs/>
          <w:sz w:val="26"/>
          <w:szCs w:val="26"/>
          <w:u w:val="single"/>
          <w:rtl/>
        </w:rPr>
      </w:pPr>
      <w:r w:rsidRPr="00B81E92">
        <w:rPr>
          <w:bCs/>
          <w:sz w:val="26"/>
          <w:szCs w:val="26"/>
          <w:u w:val="single"/>
          <w:rtl/>
        </w:rPr>
        <w:t>טענות הנתבע</w:t>
      </w:r>
    </w:p>
    <w:p w:rsidR="005075CF" w:rsidRPr="00B81E92" w:rsidRDefault="005075CF" w:rsidP="00B81E92">
      <w:pPr>
        <w:pStyle w:val="ad"/>
        <w:numPr>
          <w:ilvl w:val="0"/>
          <w:numId w:val="1"/>
        </w:numPr>
        <w:spacing w:line="360" w:lineRule="auto"/>
        <w:jc w:val="both"/>
        <w:rPr>
          <w:sz w:val="26"/>
          <w:szCs w:val="26"/>
        </w:rPr>
      </w:pPr>
      <w:r w:rsidRPr="00B81E92">
        <w:rPr>
          <w:sz w:val="26"/>
          <w:szCs w:val="26"/>
          <w:rtl/>
        </w:rPr>
        <w:lastRenderedPageBreak/>
        <w:t>כתב התביעה עצמו מעלה כי הנכס משותף, שכן הוא נרכש במהלך הנישואין, ובאמצעות תשלומים ששולמו מן החשבון המשותף. חלק מן הכספים צברה התובעת לפני נישואי הצדדים, ויתר הכספים נצברו לזכותה במהלך הנישואין, בעוד הנתבע מפקיד במהלך אותן שנים את כל הכנסותיו בחשבון המשותף.</w:t>
      </w:r>
    </w:p>
    <w:p w:rsidR="005075CF" w:rsidRDefault="005075CF" w:rsidP="00B81E92">
      <w:pPr>
        <w:spacing w:line="360" w:lineRule="auto"/>
        <w:jc w:val="both"/>
        <w:rPr>
          <w:sz w:val="26"/>
          <w:szCs w:val="26"/>
        </w:rPr>
      </w:pPr>
    </w:p>
    <w:p w:rsidR="005075CF" w:rsidRPr="00A46536" w:rsidRDefault="005075CF" w:rsidP="00A46536">
      <w:pPr>
        <w:pStyle w:val="ad"/>
        <w:numPr>
          <w:ilvl w:val="0"/>
          <w:numId w:val="1"/>
        </w:numPr>
        <w:spacing w:line="360" w:lineRule="auto"/>
        <w:jc w:val="both"/>
        <w:rPr>
          <w:sz w:val="26"/>
          <w:szCs w:val="26"/>
          <w:rtl/>
        </w:rPr>
      </w:pPr>
      <w:r>
        <w:rPr>
          <w:sz w:val="26"/>
          <w:szCs w:val="26"/>
          <w:rtl/>
        </w:rPr>
        <w:t xml:space="preserve">כל </w:t>
      </w:r>
      <w:r w:rsidR="0037345C">
        <w:rPr>
          <w:sz w:val="26"/>
          <w:szCs w:val="26"/>
          <w:rtl/>
        </w:rPr>
        <w:t>הכספים ששימשו לרכישת הנכס</w:t>
      </w:r>
      <w:r w:rsidR="0037345C">
        <w:rPr>
          <w:rFonts w:hint="cs"/>
          <w:sz w:val="26"/>
          <w:szCs w:val="26"/>
          <w:rtl/>
        </w:rPr>
        <w:t xml:space="preserve"> </w:t>
      </w:r>
      <w:r w:rsidRPr="00A46536">
        <w:rPr>
          <w:sz w:val="26"/>
          <w:szCs w:val="26"/>
          <w:rtl/>
        </w:rPr>
        <w:t>שולמו מתוך החשבון המשותף, לרבות מתנות כספיות בעלות היקף זניח, שניתנו על ידי אם התובעת לשני הצדדים.</w:t>
      </w:r>
    </w:p>
    <w:p w:rsidR="005075CF" w:rsidRDefault="005075CF" w:rsidP="00B81E92">
      <w:pPr>
        <w:pStyle w:val="ad"/>
        <w:tabs>
          <w:tab w:val="center" w:pos="4792"/>
        </w:tabs>
        <w:spacing w:line="360" w:lineRule="auto"/>
        <w:jc w:val="both"/>
        <w:rPr>
          <w:sz w:val="26"/>
          <w:szCs w:val="26"/>
          <w:rtl/>
        </w:rPr>
      </w:pPr>
      <w:r>
        <w:rPr>
          <w:sz w:val="26"/>
          <w:szCs w:val="26"/>
          <w:rtl/>
        </w:rPr>
        <w:t>הצדדים נטלו הלוואה מן החשבון המשותף, וזו שימשה למימון עלויות המיסוי של הנכס.  הצדדים נשאו במשותף בהשבת ההלוואה לאורך שנים. גם כאשר נסגר החשבון המשותף, נשאו הצדדים בחלקים שווים ביתרת החובה שנוצרה בו.</w:t>
      </w:r>
    </w:p>
    <w:p w:rsidR="005075CF" w:rsidRDefault="005075CF" w:rsidP="00B81E92">
      <w:pPr>
        <w:tabs>
          <w:tab w:val="center" w:pos="4792"/>
        </w:tabs>
        <w:spacing w:line="360" w:lineRule="auto"/>
        <w:jc w:val="both"/>
        <w:rPr>
          <w:sz w:val="26"/>
          <w:szCs w:val="26"/>
          <w:rtl/>
        </w:rPr>
      </w:pPr>
    </w:p>
    <w:p w:rsidR="005075CF" w:rsidRDefault="005075CF" w:rsidP="00B81E92">
      <w:pPr>
        <w:pStyle w:val="ad"/>
        <w:numPr>
          <w:ilvl w:val="0"/>
          <w:numId w:val="1"/>
        </w:numPr>
        <w:tabs>
          <w:tab w:val="center" w:pos="4792"/>
        </w:tabs>
        <w:spacing w:line="360" w:lineRule="auto"/>
        <w:jc w:val="both"/>
        <w:rPr>
          <w:sz w:val="26"/>
          <w:szCs w:val="26"/>
          <w:rtl/>
        </w:rPr>
      </w:pPr>
      <w:r>
        <w:rPr>
          <w:sz w:val="26"/>
          <w:szCs w:val="26"/>
          <w:rtl/>
        </w:rPr>
        <w:t>אליבא התובעת, היא עצמה הפקידה את הכספים בחשבון הבנק המשותף, ללא כפיה או לחץ כלשהו, ובכך הפכה את הכספים למשותפים. הנכס נרכש מתוך שיתוף פעולה ובתיאום בין הצדדים, כאשר הנתבע מעורב בכל פן של הרכישה.</w:t>
      </w:r>
    </w:p>
    <w:p w:rsidR="005075CF" w:rsidRDefault="005075CF" w:rsidP="00B81E92">
      <w:pPr>
        <w:spacing w:line="360" w:lineRule="auto"/>
        <w:ind w:left="720"/>
        <w:jc w:val="both"/>
        <w:rPr>
          <w:sz w:val="26"/>
          <w:szCs w:val="26"/>
          <w:rtl/>
        </w:rPr>
      </w:pPr>
    </w:p>
    <w:p w:rsidR="005075CF" w:rsidRDefault="005075CF" w:rsidP="00B81E92">
      <w:pPr>
        <w:pStyle w:val="ad"/>
        <w:numPr>
          <w:ilvl w:val="0"/>
          <w:numId w:val="1"/>
        </w:numPr>
        <w:spacing w:line="360" w:lineRule="auto"/>
        <w:jc w:val="both"/>
        <w:rPr>
          <w:sz w:val="26"/>
          <w:szCs w:val="26"/>
          <w:rtl/>
        </w:rPr>
      </w:pPr>
      <w:r>
        <w:rPr>
          <w:sz w:val="26"/>
          <w:szCs w:val="26"/>
          <w:rtl/>
        </w:rPr>
        <w:lastRenderedPageBreak/>
        <w:t>אין ברישום הנכס על שם אחד מן הצדדים, כדי לשלול את השיתוף בו, שכן יש לבחון את הנסיבות הכוללות הנוגעות לרישום הנכס.</w:t>
      </w:r>
    </w:p>
    <w:p w:rsidR="005075CF" w:rsidRDefault="005075CF" w:rsidP="00B81E92">
      <w:pPr>
        <w:pStyle w:val="ad"/>
        <w:spacing w:line="360" w:lineRule="auto"/>
        <w:jc w:val="both"/>
        <w:rPr>
          <w:sz w:val="26"/>
          <w:szCs w:val="26"/>
        </w:rPr>
      </w:pPr>
    </w:p>
    <w:p w:rsidR="005075CF" w:rsidRDefault="005075CF" w:rsidP="00B81E92">
      <w:pPr>
        <w:pStyle w:val="ad"/>
        <w:numPr>
          <w:ilvl w:val="0"/>
          <w:numId w:val="1"/>
        </w:numPr>
        <w:spacing w:line="360" w:lineRule="auto"/>
        <w:jc w:val="both"/>
        <w:rPr>
          <w:sz w:val="26"/>
          <w:szCs w:val="26"/>
          <w:rtl/>
        </w:rPr>
      </w:pPr>
      <w:r>
        <w:rPr>
          <w:sz w:val="26"/>
          <w:szCs w:val="26"/>
          <w:rtl/>
        </w:rPr>
        <w:t>הצדדים התנהלו בשיתוף לאורך נישואיהם, ואף הנתבע הפקיד כאמור כספים פיצויים שקיבל לחשבון המשותף. מכאן, יש לקבוע כי כלל נכסי הצדדים משותפים, לרבות הנכס.</w:t>
      </w:r>
    </w:p>
    <w:p w:rsidR="005075CF" w:rsidRDefault="005075CF" w:rsidP="00B81E92">
      <w:pPr>
        <w:pStyle w:val="ad"/>
        <w:spacing w:line="360" w:lineRule="auto"/>
        <w:jc w:val="both"/>
        <w:rPr>
          <w:sz w:val="26"/>
          <w:szCs w:val="26"/>
        </w:rPr>
      </w:pPr>
    </w:p>
    <w:p w:rsidR="00A46536" w:rsidRDefault="00A46536" w:rsidP="00B81E92">
      <w:pPr>
        <w:spacing w:line="360" w:lineRule="auto"/>
        <w:ind w:firstLine="720"/>
        <w:jc w:val="both"/>
        <w:rPr>
          <w:b/>
          <w:sz w:val="26"/>
          <w:szCs w:val="26"/>
          <w:u w:val="single"/>
          <w:rtl/>
        </w:rPr>
      </w:pPr>
    </w:p>
    <w:p w:rsidR="00A46536" w:rsidRDefault="00A46536" w:rsidP="00A46536">
      <w:pPr>
        <w:spacing w:line="360" w:lineRule="auto"/>
        <w:ind w:firstLine="720"/>
        <w:jc w:val="both"/>
        <w:rPr>
          <w:b/>
          <w:sz w:val="26"/>
          <w:szCs w:val="26"/>
          <w:u w:val="single"/>
          <w:rtl/>
        </w:rPr>
      </w:pPr>
    </w:p>
    <w:p w:rsidR="00A46536" w:rsidRDefault="00A46536" w:rsidP="00A46536">
      <w:pPr>
        <w:spacing w:line="360" w:lineRule="auto"/>
        <w:ind w:firstLine="720"/>
        <w:jc w:val="both"/>
        <w:rPr>
          <w:b/>
          <w:sz w:val="26"/>
          <w:szCs w:val="26"/>
          <w:u w:val="single"/>
          <w:rtl/>
        </w:rPr>
      </w:pPr>
    </w:p>
    <w:p w:rsidR="005075CF" w:rsidRPr="00A46536" w:rsidRDefault="005075CF" w:rsidP="00A46536">
      <w:pPr>
        <w:spacing w:line="360" w:lineRule="auto"/>
        <w:ind w:firstLine="360"/>
        <w:jc w:val="both"/>
        <w:rPr>
          <w:bCs/>
          <w:sz w:val="26"/>
          <w:szCs w:val="26"/>
          <w:u w:val="single"/>
          <w:rtl/>
        </w:rPr>
      </w:pPr>
      <w:r w:rsidRPr="00A46536">
        <w:rPr>
          <w:bCs/>
          <w:sz w:val="26"/>
          <w:szCs w:val="26"/>
          <w:u w:val="single"/>
          <w:rtl/>
        </w:rPr>
        <w:t>דיון</w:t>
      </w:r>
    </w:p>
    <w:p w:rsidR="005075CF" w:rsidRDefault="005075CF" w:rsidP="00B81E92">
      <w:pPr>
        <w:spacing w:line="360" w:lineRule="auto"/>
        <w:ind w:left="720"/>
        <w:jc w:val="both"/>
        <w:rPr>
          <w:sz w:val="26"/>
          <w:szCs w:val="26"/>
          <w:rtl/>
        </w:rPr>
      </w:pPr>
      <w:r>
        <w:rPr>
          <w:sz w:val="26"/>
          <w:szCs w:val="26"/>
          <w:rtl/>
        </w:rPr>
        <w:t>גם בעת הדיון בשני ההליכים הרכושיים, תכונה האשה - "</w:t>
      </w:r>
      <w:r>
        <w:rPr>
          <w:b/>
          <w:sz w:val="26"/>
          <w:szCs w:val="26"/>
          <w:rtl/>
        </w:rPr>
        <w:t>ה</w:t>
      </w:r>
      <w:r w:rsidRPr="00A46536">
        <w:rPr>
          <w:bCs/>
          <w:sz w:val="26"/>
          <w:szCs w:val="26"/>
          <w:rtl/>
        </w:rPr>
        <w:t>תובעת</w:t>
      </w:r>
      <w:r>
        <w:rPr>
          <w:sz w:val="26"/>
          <w:szCs w:val="26"/>
          <w:rtl/>
        </w:rPr>
        <w:t>" והאיש – "</w:t>
      </w:r>
      <w:r w:rsidRPr="00A46536">
        <w:rPr>
          <w:bCs/>
          <w:sz w:val="26"/>
          <w:szCs w:val="26"/>
          <w:rtl/>
        </w:rPr>
        <w:t>הנתבע</w:t>
      </w:r>
      <w:r>
        <w:rPr>
          <w:sz w:val="26"/>
          <w:szCs w:val="26"/>
          <w:rtl/>
        </w:rPr>
        <w:t>".</w:t>
      </w:r>
    </w:p>
    <w:p w:rsidR="005075CF" w:rsidRDefault="005075CF" w:rsidP="00B81E92">
      <w:pPr>
        <w:pStyle w:val="ad"/>
        <w:spacing w:line="360" w:lineRule="auto"/>
        <w:ind w:left="1080"/>
        <w:jc w:val="both"/>
        <w:rPr>
          <w:sz w:val="26"/>
          <w:szCs w:val="26"/>
        </w:rPr>
      </w:pPr>
    </w:p>
    <w:p w:rsidR="005075CF" w:rsidRPr="00A46536" w:rsidRDefault="005075CF" w:rsidP="00A46536">
      <w:pPr>
        <w:spacing w:line="360" w:lineRule="auto"/>
        <w:ind w:firstLine="360"/>
        <w:jc w:val="both"/>
        <w:rPr>
          <w:bCs/>
          <w:sz w:val="26"/>
          <w:szCs w:val="26"/>
          <w:u w:val="single"/>
          <w:rtl/>
        </w:rPr>
      </w:pPr>
      <w:r w:rsidRPr="00A46536">
        <w:rPr>
          <w:bCs/>
          <w:sz w:val="26"/>
          <w:szCs w:val="26"/>
          <w:u w:val="single"/>
          <w:rtl/>
        </w:rPr>
        <w:t xml:space="preserve">המסגרת המשפטית </w:t>
      </w:r>
    </w:p>
    <w:p w:rsidR="005075CF" w:rsidRDefault="00B454AD" w:rsidP="00B81E92">
      <w:pPr>
        <w:pStyle w:val="ad"/>
        <w:numPr>
          <w:ilvl w:val="0"/>
          <w:numId w:val="1"/>
        </w:numPr>
        <w:spacing w:before="240" w:after="240" w:line="360" w:lineRule="auto"/>
        <w:jc w:val="both"/>
        <w:rPr>
          <w:rFonts w:ascii="David" w:hAnsi="David"/>
          <w:sz w:val="26"/>
          <w:szCs w:val="26"/>
          <w:rtl/>
        </w:rPr>
      </w:pPr>
      <w:r>
        <w:rPr>
          <w:rFonts w:ascii="David" w:hAnsi="David" w:hint="cs"/>
          <w:sz w:val="26"/>
          <w:szCs w:val="26"/>
          <w:rtl/>
        </w:rPr>
        <w:lastRenderedPageBreak/>
        <w:t>ע</w:t>
      </w:r>
      <w:r w:rsidR="005075CF">
        <w:rPr>
          <w:rFonts w:ascii="David" w:hAnsi="David"/>
          <w:sz w:val="26"/>
          <w:szCs w:val="26"/>
          <w:rtl/>
        </w:rPr>
        <w:t>ל הצדדים חל חוק יחסי ממון בין בני זוג, התשל"ג-1973 (להלן: "</w:t>
      </w:r>
      <w:r w:rsidR="005075CF" w:rsidRPr="00A46536">
        <w:rPr>
          <w:rFonts w:ascii="David" w:hAnsi="David"/>
          <w:bCs/>
          <w:sz w:val="26"/>
          <w:szCs w:val="26"/>
          <w:rtl/>
        </w:rPr>
        <w:t>חוק יחסי ממון</w:t>
      </w:r>
      <w:r w:rsidR="005075CF">
        <w:rPr>
          <w:rFonts w:ascii="David" w:hAnsi="David"/>
          <w:b/>
          <w:sz w:val="26"/>
          <w:szCs w:val="26"/>
          <w:rtl/>
        </w:rPr>
        <w:t>"</w:t>
      </w:r>
      <w:r w:rsidR="005075CF">
        <w:rPr>
          <w:rFonts w:ascii="David" w:hAnsi="David"/>
          <w:sz w:val="26"/>
          <w:szCs w:val="26"/>
          <w:rtl/>
        </w:rPr>
        <w:t>). בהתאם לסעיף 5 לחוק יחסי ממון, עם פקיעת הנישואין, באיזון המשאבים, יהיה זכאי כל אחד מבני הזוג למחצית משוויים של כלל הנכסים שצברו בני הזוג במהלך החיים המשותפים, למעט נכסים שהיו לבני זוג ערב הנישואין או שקיבלו במתנה או בירושה בתקופת הנישואין.</w:t>
      </w:r>
    </w:p>
    <w:p w:rsidR="005075CF" w:rsidRPr="00A46536" w:rsidRDefault="005075CF" w:rsidP="00A46536">
      <w:pPr>
        <w:pStyle w:val="10"/>
        <w:spacing w:line="360" w:lineRule="auto"/>
        <w:ind w:right="1134"/>
        <w:jc w:val="both"/>
        <w:rPr>
          <w:rFonts w:ascii="David" w:hAnsi="David"/>
          <w:bCs/>
          <w:noProof w:val="0"/>
          <w:sz w:val="26"/>
          <w:szCs w:val="26"/>
          <w:rtl/>
        </w:rPr>
      </w:pPr>
      <w:r>
        <w:rPr>
          <w:rFonts w:ascii="David" w:hAnsi="David"/>
          <w:sz w:val="26"/>
          <w:szCs w:val="26"/>
          <w:rtl/>
        </w:rPr>
        <w:t xml:space="preserve">ועוד נקבע בסע' 9 לחוק יחסי ממון, כי </w:t>
      </w:r>
      <w:r w:rsidRPr="00A46536">
        <w:rPr>
          <w:rStyle w:val="default"/>
          <w:rFonts w:ascii="David" w:hAnsi="David" w:cs="David"/>
          <w:bCs/>
          <w:noProof w:val="0"/>
          <w:rtl/>
        </w:rPr>
        <w:t>"ראיה על היות נכס בבעלותו או בהחזקתו של אחד מבני הזוג או על היותו רשום על שמו, אין בה בלבד כדי לצאת ידי נטל ההוכחה שיש למעט נכס זה מן הנכסים ששווים יאוזן בין בני הזוג"</w:t>
      </w:r>
      <w:r w:rsidRPr="00A46536">
        <w:rPr>
          <w:rFonts w:ascii="David" w:hAnsi="David"/>
          <w:bCs/>
          <w:noProof w:val="0"/>
          <w:sz w:val="26"/>
          <w:szCs w:val="26"/>
          <w:rtl/>
        </w:rPr>
        <w:t>.</w:t>
      </w:r>
    </w:p>
    <w:p w:rsidR="00B454AD" w:rsidRDefault="00B454AD" w:rsidP="00B81E92">
      <w:pPr>
        <w:pStyle w:val="10"/>
        <w:spacing w:line="360" w:lineRule="auto"/>
        <w:ind w:right="1134"/>
        <w:jc w:val="both"/>
        <w:rPr>
          <w:rFonts w:ascii="David" w:hAnsi="David"/>
          <w:b/>
          <w:noProof w:val="0"/>
          <w:sz w:val="26"/>
          <w:szCs w:val="26"/>
          <w:u w:val="single"/>
          <w:rtl/>
        </w:rPr>
      </w:pPr>
    </w:p>
    <w:p w:rsidR="005075CF" w:rsidRPr="00B454AD" w:rsidRDefault="005075CF" w:rsidP="00B81E92">
      <w:pPr>
        <w:pStyle w:val="10"/>
        <w:spacing w:line="360" w:lineRule="auto"/>
        <w:ind w:right="1134"/>
        <w:jc w:val="both"/>
        <w:rPr>
          <w:rFonts w:ascii="David" w:hAnsi="David"/>
          <w:bCs/>
          <w:noProof w:val="0"/>
          <w:sz w:val="26"/>
          <w:szCs w:val="26"/>
          <w:u w:val="single"/>
          <w:rtl/>
        </w:rPr>
      </w:pPr>
      <w:r w:rsidRPr="00B454AD">
        <w:rPr>
          <w:rFonts w:ascii="David" w:hAnsi="David"/>
          <w:bCs/>
          <w:noProof w:val="0"/>
          <w:sz w:val="26"/>
          <w:szCs w:val="26"/>
          <w:u w:val="single"/>
          <w:rtl/>
        </w:rPr>
        <w:t>חשבון בנק משותף</w:t>
      </w:r>
    </w:p>
    <w:p w:rsidR="005075CF" w:rsidRDefault="005075CF" w:rsidP="0037345C">
      <w:pPr>
        <w:pStyle w:val="ad"/>
        <w:numPr>
          <w:ilvl w:val="0"/>
          <w:numId w:val="1"/>
        </w:numPr>
        <w:spacing w:line="360" w:lineRule="auto"/>
        <w:jc w:val="both"/>
        <w:rPr>
          <w:rFonts w:ascii="David" w:hAnsi="David"/>
          <w:sz w:val="26"/>
          <w:szCs w:val="26"/>
          <w:rtl/>
        </w:rPr>
      </w:pPr>
      <w:r>
        <w:rPr>
          <w:rFonts w:ascii="David" w:hAnsi="David"/>
          <w:sz w:val="26"/>
          <w:szCs w:val="26"/>
          <w:rtl/>
        </w:rPr>
        <w:t xml:space="preserve">ככלל, חזקה על כספים המצויים בחשבון משותף שהם שייכים לבעלי החשבון בחלקים שווים (ע"א 1967/90 </w:t>
      </w:r>
      <w:r w:rsidRPr="00B454AD">
        <w:rPr>
          <w:rFonts w:ascii="David" w:hAnsi="David"/>
          <w:bCs/>
          <w:sz w:val="26"/>
          <w:szCs w:val="26"/>
          <w:rtl/>
        </w:rPr>
        <w:t>גיברשטין נ' גיברשטין</w:t>
      </w:r>
      <w:r>
        <w:rPr>
          <w:rFonts w:ascii="David" w:hAnsi="David"/>
          <w:b/>
          <w:sz w:val="26"/>
          <w:szCs w:val="26"/>
          <w:rtl/>
        </w:rPr>
        <w:t>,</w:t>
      </w:r>
      <w:r>
        <w:rPr>
          <w:rFonts w:ascii="David" w:hAnsi="David"/>
          <w:sz w:val="26"/>
          <w:szCs w:val="26"/>
          <w:rtl/>
        </w:rPr>
        <w:t xml:space="preserve"> פד"י מו' (5), 661; ע"א 155/73 </w:t>
      </w:r>
      <w:r w:rsidRPr="00B454AD">
        <w:rPr>
          <w:rFonts w:ascii="David" w:hAnsi="David"/>
          <w:bCs/>
          <w:sz w:val="26"/>
          <w:szCs w:val="26"/>
          <w:rtl/>
        </w:rPr>
        <w:t>שרון נ' ליבוב</w:t>
      </w:r>
      <w:r>
        <w:rPr>
          <w:rFonts w:ascii="David" w:hAnsi="David"/>
          <w:sz w:val="26"/>
          <w:szCs w:val="26"/>
          <w:rtl/>
        </w:rPr>
        <w:t xml:space="preserve">, פד"י כח' (2), 672; ע"א 575/98 </w:t>
      </w:r>
      <w:r w:rsidRPr="00B454AD">
        <w:rPr>
          <w:rFonts w:ascii="David" w:hAnsi="David"/>
          <w:bCs/>
          <w:sz w:val="26"/>
          <w:szCs w:val="26"/>
          <w:rtl/>
        </w:rPr>
        <w:t>ברנהויים נ' פרנקל</w:t>
      </w:r>
      <w:r w:rsidR="0037345C">
        <w:rPr>
          <w:rFonts w:ascii="David" w:hAnsi="David"/>
          <w:sz w:val="26"/>
          <w:szCs w:val="26"/>
          <w:rtl/>
        </w:rPr>
        <w:t>, פד"י לג' (3)</w:t>
      </w:r>
      <w:r w:rsidR="0037345C">
        <w:rPr>
          <w:rFonts w:ascii="David" w:hAnsi="David" w:hint="cs"/>
          <w:sz w:val="26"/>
          <w:szCs w:val="26"/>
          <w:rtl/>
        </w:rPr>
        <w:t>)</w:t>
      </w:r>
      <w:r>
        <w:rPr>
          <w:rFonts w:ascii="David" w:hAnsi="David"/>
          <w:sz w:val="26"/>
          <w:szCs w:val="26"/>
          <w:rtl/>
        </w:rPr>
        <w:t>.</w:t>
      </w:r>
    </w:p>
    <w:p w:rsidR="005075CF" w:rsidRPr="00B454AD" w:rsidRDefault="005075CF" w:rsidP="00B81E92">
      <w:pPr>
        <w:pStyle w:val="10"/>
        <w:shd w:val="clear" w:color="auto" w:fill="FFFFFF"/>
        <w:spacing w:line="360" w:lineRule="auto"/>
        <w:jc w:val="both"/>
        <w:rPr>
          <w:rFonts w:ascii="David" w:hAnsi="David"/>
          <w:bCs/>
          <w:sz w:val="26"/>
          <w:szCs w:val="26"/>
          <w:rtl/>
        </w:rPr>
      </w:pPr>
      <w:r w:rsidRPr="00B454AD">
        <w:rPr>
          <w:rFonts w:ascii="David" w:hAnsi="David"/>
          <w:noProof w:val="0"/>
          <w:sz w:val="26"/>
          <w:szCs w:val="26"/>
          <w:rtl/>
        </w:rPr>
        <w:t xml:space="preserve">בכל הנוגע לחשבון בנק משותף, נקבע בתמ"ש (נצ') 32491-05-10 </w:t>
      </w:r>
      <w:r w:rsidRPr="00B454AD">
        <w:rPr>
          <w:rFonts w:ascii="David" w:hAnsi="David"/>
          <w:bCs/>
          <w:noProof w:val="0"/>
          <w:sz w:val="26"/>
          <w:szCs w:val="26"/>
          <w:rtl/>
        </w:rPr>
        <w:t>ר.ב נ' א.ב</w:t>
      </w:r>
      <w:r w:rsidRPr="00B454AD">
        <w:rPr>
          <w:rFonts w:ascii="David" w:hAnsi="David"/>
          <w:noProof w:val="0"/>
          <w:sz w:val="26"/>
          <w:szCs w:val="26"/>
          <w:rtl/>
        </w:rPr>
        <w:t xml:space="preserve"> </w:t>
      </w:r>
      <w:r w:rsidR="00B454AD">
        <w:rPr>
          <w:rFonts w:ascii="David" w:hAnsi="David" w:hint="cs"/>
          <w:noProof w:val="0"/>
          <w:sz w:val="26"/>
          <w:szCs w:val="26"/>
          <w:rtl/>
        </w:rPr>
        <w:t xml:space="preserve"> </w:t>
      </w:r>
      <w:r w:rsidRPr="00B454AD">
        <w:rPr>
          <w:rFonts w:ascii="David" w:hAnsi="David"/>
          <w:noProof w:val="0"/>
          <w:sz w:val="26"/>
          <w:szCs w:val="26"/>
          <w:rtl/>
        </w:rPr>
        <w:t>כי: "</w:t>
      </w:r>
      <w:r w:rsidRPr="00B454AD">
        <w:rPr>
          <w:rFonts w:ascii="David" w:hAnsi="David"/>
          <w:bCs/>
          <w:noProof w:val="0"/>
          <w:sz w:val="26"/>
          <w:szCs w:val="26"/>
          <w:rtl/>
        </w:rPr>
        <w:t xml:space="preserve">לצורך קביעת הזכויות הקנייניות ביתרת חשבון בנק משותף, התפתחה בהלכה הפסוקה הבחנה בין חשבון בנק שנפתח מלכתחילה במשותף בין שני שותפים או יותר, לבין חשבון בנק שנפתח על ידי פלוני, שמפקיד בו מכספיו, ומצרף את אלמוני רק בשלב מאוחר יותר. בכל הנוגע למקרה הראשון, חזקה היא שהכספים בחשבון הם בבעלות המשותפת של כל השותפים, אלא אם הוכח ההיפך. זאת בהתאם </w:t>
      </w:r>
      <w:hyperlink r:id="rId8" w:history="1">
        <w:r w:rsidRPr="00B454AD">
          <w:rPr>
            <w:rStyle w:val="Hyperlink"/>
            <w:rFonts w:ascii="David" w:hAnsi="David" w:cs="David"/>
            <w:bCs/>
            <w:noProof w:val="0"/>
            <w:color w:val="auto"/>
            <w:sz w:val="26"/>
            <w:szCs w:val="26"/>
            <w:rtl/>
          </w:rPr>
          <w:t>לסעיף 9(ב)</w:t>
        </w:r>
      </w:hyperlink>
      <w:r w:rsidRPr="00B454AD">
        <w:rPr>
          <w:rFonts w:ascii="David" w:hAnsi="David"/>
          <w:bCs/>
          <w:noProof w:val="0"/>
          <w:sz w:val="26"/>
          <w:szCs w:val="26"/>
          <w:rtl/>
        </w:rPr>
        <w:t xml:space="preserve"> ל</w:t>
      </w:r>
      <w:hyperlink r:id="rId9" w:history="1">
        <w:r w:rsidRPr="00B454AD">
          <w:rPr>
            <w:rStyle w:val="Hyperlink"/>
            <w:rFonts w:ascii="David" w:hAnsi="David" w:cs="David"/>
            <w:bCs/>
            <w:noProof w:val="0"/>
            <w:color w:val="auto"/>
            <w:sz w:val="26"/>
            <w:szCs w:val="26"/>
            <w:rtl/>
          </w:rPr>
          <w:t>חוק המיטלטלין</w:t>
        </w:r>
      </w:hyperlink>
      <w:r w:rsidRPr="00B454AD">
        <w:rPr>
          <w:rFonts w:ascii="David" w:hAnsi="David"/>
          <w:bCs/>
          <w:noProof w:val="0"/>
          <w:sz w:val="26"/>
          <w:szCs w:val="26"/>
          <w:rtl/>
        </w:rPr>
        <w:t>, התשל"א-1971, לפיו בנכס משותף חלקו של כל אחד מהשותפים הנו שווה. בגדר "נכס" נכללת גם "זכות" (</w:t>
      </w:r>
      <w:hyperlink r:id="rId10" w:history="1">
        <w:r w:rsidRPr="00B454AD">
          <w:rPr>
            <w:rStyle w:val="Hyperlink"/>
            <w:rFonts w:ascii="David" w:hAnsi="David" w:cs="David"/>
            <w:bCs/>
            <w:noProof w:val="0"/>
            <w:color w:val="auto"/>
            <w:sz w:val="26"/>
            <w:szCs w:val="26"/>
            <w:rtl/>
          </w:rPr>
          <w:t>ע"א 679/76 סלי נ' עזבון המנוח קרל שפר, פ"ד לב</w:t>
        </w:r>
      </w:hyperlink>
      <w:r w:rsidRPr="00B454AD">
        <w:rPr>
          <w:rFonts w:ascii="David" w:hAnsi="David"/>
          <w:bCs/>
          <w:noProof w:val="0"/>
          <w:sz w:val="26"/>
          <w:szCs w:val="26"/>
          <w:rtl/>
        </w:rPr>
        <w:t xml:space="preserve">(2) 785, 789 (1978) ; </w:t>
      </w:r>
      <w:hyperlink r:id="rId11" w:history="1">
        <w:r w:rsidRPr="00B454AD">
          <w:rPr>
            <w:rStyle w:val="Hyperlink"/>
            <w:rFonts w:ascii="David" w:hAnsi="David" w:cs="David"/>
            <w:bCs/>
            <w:noProof w:val="0"/>
            <w:color w:val="auto"/>
            <w:sz w:val="26"/>
            <w:szCs w:val="26"/>
            <w:rtl/>
          </w:rPr>
          <w:t>תמ"ש (נצ') 7080/04</w:t>
        </w:r>
      </w:hyperlink>
      <w:r w:rsidRPr="00B454AD">
        <w:rPr>
          <w:rFonts w:ascii="David" w:hAnsi="David"/>
          <w:bCs/>
          <w:noProof w:val="0"/>
          <w:sz w:val="26"/>
          <w:szCs w:val="26"/>
          <w:rtl/>
        </w:rPr>
        <w:t xml:space="preserve"> כ.מ.ת נ' ה.ת. [פורסם </w:t>
      </w:r>
      <w:r w:rsidRPr="00B454AD">
        <w:rPr>
          <w:rFonts w:ascii="David" w:hAnsi="David"/>
          <w:bCs/>
          <w:noProof w:val="0"/>
          <w:sz w:val="26"/>
          <w:szCs w:val="26"/>
          <w:rtl/>
        </w:rPr>
        <w:lastRenderedPageBreak/>
        <w:t xml:space="preserve">בנבו] (17/1/2012); לעומת זאת, במקרה השני, משמדובר בכספים שהיו בשלב הראשון בבעלותו הבלעדית של אחד השותפים, בכדי שמחציתם תעבור לשותף המצטרף ללא תמורה מצידו, יש להוכיח קיומה של מתנה על פי </w:t>
      </w:r>
      <w:hyperlink r:id="rId12" w:history="1">
        <w:r w:rsidRPr="00B454AD">
          <w:rPr>
            <w:rStyle w:val="Hyperlink"/>
            <w:rFonts w:ascii="David" w:hAnsi="David" w:cs="David"/>
            <w:bCs/>
            <w:noProof w:val="0"/>
            <w:color w:val="auto"/>
            <w:sz w:val="26"/>
            <w:szCs w:val="26"/>
            <w:rtl/>
          </w:rPr>
          <w:t>חוק המתנה</w:t>
        </w:r>
      </w:hyperlink>
      <w:r w:rsidRPr="00B454AD">
        <w:rPr>
          <w:rFonts w:ascii="David" w:hAnsi="David"/>
          <w:bCs/>
          <w:noProof w:val="0"/>
          <w:sz w:val="26"/>
          <w:szCs w:val="26"/>
          <w:rtl/>
        </w:rPr>
        <w:t xml:space="preserve">, התשכ"ח-1968 (להלן: "חוק המתנה") וראו: </w:t>
      </w:r>
      <w:hyperlink r:id="rId13" w:history="1">
        <w:r w:rsidRPr="00B454AD">
          <w:rPr>
            <w:rStyle w:val="Hyperlink"/>
            <w:rFonts w:ascii="David" w:hAnsi="David" w:cs="David"/>
            <w:bCs/>
            <w:noProof w:val="0"/>
            <w:color w:val="auto"/>
            <w:sz w:val="26"/>
            <w:szCs w:val="26"/>
            <w:rtl/>
          </w:rPr>
          <w:t>ע"א 268/81 ברעם נ' גרטי, פ"ד לח</w:t>
        </w:r>
      </w:hyperlink>
      <w:r w:rsidRPr="00B454AD">
        <w:rPr>
          <w:rFonts w:ascii="David" w:hAnsi="David"/>
          <w:bCs/>
          <w:noProof w:val="0"/>
          <w:sz w:val="26"/>
          <w:szCs w:val="26"/>
          <w:rtl/>
        </w:rPr>
        <w:t xml:space="preserve">(2) 45, 48 (1984). אך בית המשפט העליון קובע כי כלל זה מוחרג בכל הנוגע לבעל ואישה, ביניהם קיימת בדרך כלל – בשני סוגי החשבונות שתוארו לעיל – חזקה שהבעלות הופכת למשותפת מרגע ההצטרפות, אך לא בכל הנוגע לאחרים (עניין סלי נ' שפר, בעמ' 794 וכן </w:t>
      </w:r>
      <w:hyperlink r:id="rId14" w:history="1">
        <w:r w:rsidRPr="00B454AD">
          <w:rPr>
            <w:rStyle w:val="Hyperlink"/>
            <w:rFonts w:ascii="David" w:hAnsi="David" w:cs="David"/>
            <w:bCs/>
            <w:noProof w:val="0"/>
            <w:color w:val="auto"/>
            <w:sz w:val="26"/>
            <w:szCs w:val="26"/>
            <w:rtl/>
          </w:rPr>
          <w:t>בע"מ 4739/15</w:t>
        </w:r>
      </w:hyperlink>
      <w:r w:rsidRPr="00B454AD">
        <w:rPr>
          <w:rFonts w:ascii="David" w:hAnsi="David"/>
          <w:bCs/>
          <w:noProof w:val="0"/>
          <w:sz w:val="26"/>
          <w:szCs w:val="26"/>
          <w:rtl/>
        </w:rPr>
        <w:t xml:space="preserve"> פלונית נ' פלוני [פורסם בנבו], 30/12/2015)"</w:t>
      </w:r>
      <w:r w:rsidR="00B454AD">
        <w:rPr>
          <w:rFonts w:ascii="David" w:hAnsi="David" w:hint="cs"/>
          <w:bCs/>
          <w:noProof w:val="0"/>
          <w:sz w:val="26"/>
          <w:szCs w:val="26"/>
          <w:rtl/>
        </w:rPr>
        <w:t>.</w:t>
      </w:r>
      <w:r w:rsidRPr="00B454AD">
        <w:rPr>
          <w:rFonts w:ascii="David" w:hAnsi="David"/>
          <w:bCs/>
          <w:noProof w:val="0"/>
          <w:sz w:val="26"/>
          <w:szCs w:val="26"/>
          <w:rtl/>
        </w:rPr>
        <w:t xml:space="preserve"> </w:t>
      </w:r>
    </w:p>
    <w:p w:rsidR="005075CF" w:rsidRDefault="005075CF" w:rsidP="00B81E92">
      <w:pPr>
        <w:pStyle w:val="10"/>
        <w:spacing w:line="360" w:lineRule="auto"/>
        <w:ind w:right="1134"/>
        <w:jc w:val="both"/>
        <w:rPr>
          <w:rFonts w:ascii="David" w:hAnsi="David"/>
          <w:b/>
          <w:noProof w:val="0"/>
          <w:sz w:val="26"/>
          <w:szCs w:val="26"/>
        </w:rPr>
      </w:pPr>
    </w:p>
    <w:p w:rsidR="00B454AD" w:rsidRDefault="00B454AD" w:rsidP="00B81E92">
      <w:pPr>
        <w:pStyle w:val="ad"/>
        <w:numPr>
          <w:ilvl w:val="0"/>
          <w:numId w:val="1"/>
        </w:numPr>
        <w:spacing w:line="360" w:lineRule="auto"/>
        <w:jc w:val="both"/>
        <w:rPr>
          <w:rFonts w:ascii="David" w:hAnsi="David"/>
          <w:sz w:val="26"/>
          <w:szCs w:val="26"/>
        </w:rPr>
      </w:pPr>
      <w:r>
        <w:rPr>
          <w:rFonts w:ascii="David" w:hAnsi="David" w:hint="cs"/>
          <w:sz w:val="26"/>
          <w:szCs w:val="26"/>
          <w:shd w:val="clear" w:color="auto" w:fill="FFFFFF"/>
          <w:rtl/>
        </w:rPr>
        <w:t xml:space="preserve">בעניין </w:t>
      </w:r>
      <w:r w:rsidR="005075CF">
        <w:rPr>
          <w:rFonts w:ascii="David" w:hAnsi="David"/>
          <w:sz w:val="26"/>
          <w:szCs w:val="26"/>
          <w:shd w:val="clear" w:color="auto" w:fill="FFFFFF"/>
          <w:rtl/>
        </w:rPr>
        <w:t>העברת כספים שבבעלות צד אחד לחשבון משותף של הצדדים,</w:t>
      </w:r>
      <w:r w:rsidR="005075CF">
        <w:rPr>
          <w:rFonts w:ascii="David" w:hAnsi="David"/>
          <w:sz w:val="26"/>
          <w:szCs w:val="26"/>
          <w:rtl/>
        </w:rPr>
        <w:t xml:space="preserve"> נקבע: </w:t>
      </w:r>
    </w:p>
    <w:p w:rsidR="005075CF" w:rsidRPr="00B454AD" w:rsidRDefault="005075CF" w:rsidP="00B454AD">
      <w:pPr>
        <w:pStyle w:val="ad"/>
        <w:spacing w:line="360" w:lineRule="auto"/>
        <w:jc w:val="both"/>
        <w:rPr>
          <w:rFonts w:ascii="David" w:hAnsi="David"/>
          <w:bCs/>
          <w:sz w:val="26"/>
          <w:szCs w:val="26"/>
          <w:rtl/>
        </w:rPr>
      </w:pPr>
      <w:r>
        <w:rPr>
          <w:rFonts w:ascii="David" w:hAnsi="David"/>
          <w:sz w:val="26"/>
          <w:szCs w:val="26"/>
          <w:rtl/>
        </w:rPr>
        <w:t>"</w:t>
      </w:r>
      <w:r w:rsidRPr="00B454AD">
        <w:rPr>
          <w:rFonts w:ascii="David" w:hAnsi="David"/>
          <w:bCs/>
          <w:sz w:val="26"/>
          <w:szCs w:val="26"/>
          <w:rtl/>
        </w:rPr>
        <w:t>העובדה כי תכניות החסכון נרכשו מכספים שהפקיד המשיב קודם לכן, היא לבדה, אינה מעלה ואינה מורידה. עם הפקדת הכסף על ידו בחשבון המשותף, לא ניתן עוד לראות את כל הכסף ככספו שלו, אלא ככספם המשותף, כל עוד לא הוסכם ביניהם אחרת לגבי אותו סכום"</w:t>
      </w:r>
      <w:r w:rsidRPr="00B454AD">
        <w:rPr>
          <w:rFonts w:ascii="David" w:hAnsi="David"/>
          <w:bCs/>
          <w:color w:val="1F497D"/>
          <w:sz w:val="26"/>
          <w:szCs w:val="26"/>
          <w:rtl/>
        </w:rPr>
        <w:t>.</w:t>
      </w:r>
    </w:p>
    <w:p w:rsidR="005075CF" w:rsidRDefault="005075CF" w:rsidP="00B81E92">
      <w:pPr>
        <w:spacing w:line="360" w:lineRule="auto"/>
        <w:ind w:firstLine="720"/>
        <w:jc w:val="both"/>
        <w:rPr>
          <w:rFonts w:ascii="Arial" w:hAnsi="Arial" w:cs="Arial"/>
          <w:noProof w:val="0"/>
          <w:color w:val="1F497D"/>
          <w:sz w:val="26"/>
          <w:szCs w:val="26"/>
        </w:rPr>
      </w:pPr>
      <w:r>
        <w:rPr>
          <w:sz w:val="26"/>
          <w:szCs w:val="26"/>
          <w:shd w:val="clear" w:color="auto" w:fill="FFFFFF"/>
          <w:rtl/>
        </w:rPr>
        <w:t>ע"א 655/89</w:t>
      </w:r>
      <w:r>
        <w:rPr>
          <w:rFonts w:ascii="David" w:hAnsi="David"/>
          <w:sz w:val="26"/>
          <w:szCs w:val="26"/>
          <w:shd w:val="clear" w:color="auto" w:fill="FFFFFF"/>
        </w:rPr>
        <w:t> </w:t>
      </w:r>
      <w:r>
        <w:rPr>
          <w:rFonts w:ascii="David" w:hAnsi="David"/>
          <w:color w:val="000000"/>
          <w:sz w:val="26"/>
          <w:szCs w:val="26"/>
          <w:shd w:val="clear" w:color="auto" w:fill="FFFFFF"/>
        </w:rPr>
        <w:t xml:space="preserve"> </w:t>
      </w:r>
      <w:r w:rsidRPr="00B454AD">
        <w:rPr>
          <w:rFonts w:ascii="David" w:hAnsi="David"/>
          <w:bCs/>
          <w:color w:val="000000"/>
          <w:sz w:val="26"/>
          <w:szCs w:val="26"/>
          <w:shd w:val="clear" w:color="auto" w:fill="FFFFFF"/>
          <w:rtl/>
        </w:rPr>
        <w:t>דבורה מטלון (כץ) נ' חיים כץ,</w:t>
      </w:r>
      <w:r>
        <w:rPr>
          <w:rFonts w:ascii="David" w:hAnsi="David"/>
          <w:color w:val="000000"/>
          <w:sz w:val="26"/>
          <w:szCs w:val="26"/>
          <w:shd w:val="clear" w:color="auto" w:fill="FFFFFF"/>
          <w:rtl/>
        </w:rPr>
        <w:t xml:space="preserve"> פ"ד מה</w:t>
      </w:r>
      <w:r>
        <w:rPr>
          <w:rFonts w:ascii="David" w:hAnsi="David"/>
          <w:color w:val="000000"/>
          <w:sz w:val="26"/>
          <w:szCs w:val="26"/>
          <w:shd w:val="clear" w:color="auto" w:fill="FFFFFF"/>
        </w:rPr>
        <w:t>(3), 845 , 849-850 (1991))</w:t>
      </w:r>
      <w:r>
        <w:rPr>
          <w:rFonts w:ascii="Arial" w:hAnsi="Arial" w:cs="Arial"/>
          <w:noProof w:val="0"/>
          <w:color w:val="1F497D"/>
          <w:sz w:val="26"/>
          <w:szCs w:val="26"/>
          <w:rtl/>
        </w:rPr>
        <w:t>.</w:t>
      </w:r>
    </w:p>
    <w:p w:rsidR="005075CF" w:rsidRDefault="005075CF" w:rsidP="00B81E92">
      <w:pPr>
        <w:spacing w:line="360" w:lineRule="auto"/>
        <w:jc w:val="both"/>
        <w:rPr>
          <w:rFonts w:ascii="Arial" w:hAnsi="Arial" w:cs="Arial"/>
          <w:color w:val="1F497D"/>
        </w:rPr>
      </w:pPr>
    </w:p>
    <w:p w:rsidR="005075CF" w:rsidRPr="00B454AD" w:rsidRDefault="005075CF" w:rsidP="00B81E92">
      <w:pPr>
        <w:spacing w:before="120" w:after="120" w:line="360" w:lineRule="auto"/>
        <w:ind w:firstLine="720"/>
        <w:jc w:val="both"/>
        <w:rPr>
          <w:rFonts w:ascii="David" w:hAnsi="David"/>
          <w:bCs/>
          <w:sz w:val="26"/>
          <w:szCs w:val="26"/>
          <w:rtl/>
        </w:rPr>
      </w:pPr>
      <w:r w:rsidRPr="00B454AD">
        <w:rPr>
          <w:rFonts w:ascii="David" w:hAnsi="David"/>
          <w:bCs/>
          <w:sz w:val="26"/>
          <w:szCs w:val="26"/>
          <w:u w:val="single"/>
          <w:rtl/>
        </w:rPr>
        <w:t>מתנה בין בני משפחה</w:t>
      </w:r>
    </w:p>
    <w:p w:rsidR="00B454AD" w:rsidRPr="00B454AD" w:rsidRDefault="005075CF" w:rsidP="00B81E92">
      <w:pPr>
        <w:pStyle w:val="ad"/>
        <w:numPr>
          <w:ilvl w:val="0"/>
          <w:numId w:val="1"/>
        </w:numPr>
        <w:spacing w:before="120" w:after="120" w:line="360" w:lineRule="auto"/>
        <w:jc w:val="both"/>
        <w:rPr>
          <w:rFonts w:ascii="David" w:hAnsi="David"/>
          <w:i/>
          <w:iCs/>
          <w:sz w:val="26"/>
          <w:szCs w:val="26"/>
        </w:rPr>
      </w:pPr>
      <w:r>
        <w:rPr>
          <w:rFonts w:ascii="David" w:hAnsi="David"/>
          <w:sz w:val="26"/>
          <w:szCs w:val="26"/>
          <w:rtl/>
        </w:rPr>
        <w:lastRenderedPageBreak/>
        <w:t xml:space="preserve">ככלל, כאשר נתבע מודה בהעברת כספים  אליו, אך טוען כי אלו הועברו במתנה, נטל ההוכחה מועבר אל כתפיו (רע"א 8068/16 </w:t>
      </w:r>
      <w:r w:rsidRPr="00B454AD">
        <w:rPr>
          <w:rFonts w:ascii="David" w:hAnsi="David"/>
          <w:bCs/>
          <w:sz w:val="26"/>
          <w:szCs w:val="26"/>
          <w:rtl/>
        </w:rPr>
        <w:t>קטן נ' כהן</w:t>
      </w:r>
      <w:r>
        <w:rPr>
          <w:rFonts w:ascii="David" w:hAnsi="David"/>
          <w:sz w:val="26"/>
          <w:szCs w:val="26"/>
          <w:rtl/>
        </w:rPr>
        <w:t xml:space="preserve"> (25.1.18)).</w:t>
      </w:r>
      <w:r>
        <w:rPr>
          <w:rFonts w:ascii="David" w:hAnsi="David"/>
          <w:i/>
          <w:iCs/>
          <w:sz w:val="26"/>
          <w:szCs w:val="26"/>
          <w:rtl/>
        </w:rPr>
        <w:t xml:space="preserve"> </w:t>
      </w:r>
    </w:p>
    <w:p w:rsidR="005075CF" w:rsidRDefault="005075CF" w:rsidP="00B454AD">
      <w:pPr>
        <w:pStyle w:val="ad"/>
        <w:spacing w:before="120" w:after="120" w:line="360" w:lineRule="auto"/>
        <w:jc w:val="both"/>
        <w:rPr>
          <w:rFonts w:ascii="David" w:hAnsi="David"/>
          <w:sz w:val="26"/>
          <w:szCs w:val="26"/>
        </w:rPr>
      </w:pPr>
      <w:r>
        <w:rPr>
          <w:rFonts w:ascii="David" w:hAnsi="David"/>
          <w:sz w:val="26"/>
          <w:szCs w:val="26"/>
          <w:rtl/>
        </w:rPr>
        <w:t xml:space="preserve">להלכה זו  חריג, כאשר  מדובר ביחסים בין בני משפחה. במערכת היחסים המשפחתית, נקבע בפסיקה כי קיימת "חזקה הפוכה" לפיה, כאשר מערכת היחסים של התובע והנתבע מאופיינת בדאגת התובע לצרכיו של הנתבע, כגון יחסי הורה וילד- חזקה כי הכספים הועברו במתנה, ונטל ההוכחה מוטל מלכתחילה על כתפי התובע להוכיח כי מדובר בהלוואה ולא במתנה. זאת, מאחר שניסיון החיים מלמד כי הורים נוהגים להעניק לצאצאיהם מתנות כספיות ואחרות. חזקה זו, אף היא נתינת לסתירה. אף פסיקת ביהמ"ש העליון החילה חזקה זו על קירבה משפחתית (ע"א 3829/91 </w:t>
      </w:r>
      <w:r w:rsidRPr="00B454AD">
        <w:rPr>
          <w:rFonts w:ascii="David" w:hAnsi="David"/>
          <w:bCs/>
          <w:sz w:val="26"/>
          <w:szCs w:val="26"/>
          <w:rtl/>
        </w:rPr>
        <w:t>וואלס נ' גת,</w:t>
      </w:r>
      <w:r>
        <w:rPr>
          <w:rFonts w:ascii="David" w:hAnsi="David"/>
          <w:sz w:val="26"/>
          <w:szCs w:val="26"/>
          <w:rtl/>
        </w:rPr>
        <w:t xml:space="preserve"> פ"ד מח (1) 801,811).</w:t>
      </w:r>
    </w:p>
    <w:p w:rsidR="005075CF" w:rsidRPr="00B454AD" w:rsidRDefault="005075CF" w:rsidP="00B454AD">
      <w:pPr>
        <w:spacing w:before="120" w:after="120" w:line="360" w:lineRule="auto"/>
        <w:ind w:left="720"/>
        <w:jc w:val="both"/>
        <w:rPr>
          <w:rFonts w:ascii="David" w:hAnsi="David"/>
          <w:sz w:val="26"/>
          <w:szCs w:val="26"/>
          <w:rtl/>
        </w:rPr>
      </w:pPr>
      <w:r w:rsidRPr="00B454AD">
        <w:rPr>
          <w:rFonts w:ascii="David" w:hAnsi="David"/>
          <w:sz w:val="26"/>
          <w:szCs w:val="26"/>
          <w:rtl/>
        </w:rPr>
        <w:t xml:space="preserve">חזקת המתנה חלה רק מקום בו מתקיימים שני אלה: (1) המדובר ביחסים משפחתיים, (2) היחסים בין בני המשפחה הינם בעלי אופי המצדיק לייחס לנותן כוונת מתנה (תמ"ש (משפחה תל אביב) 35951-12-14 </w:t>
      </w:r>
      <w:r w:rsidRPr="00B454AD">
        <w:rPr>
          <w:rFonts w:ascii="David" w:hAnsi="David"/>
          <w:bCs/>
          <w:sz w:val="26"/>
          <w:szCs w:val="26"/>
          <w:rtl/>
        </w:rPr>
        <w:t>ש.א. נ' א.ס.</w:t>
      </w:r>
      <w:r w:rsidR="00B454AD">
        <w:rPr>
          <w:rFonts w:ascii="David" w:hAnsi="David"/>
          <w:sz w:val="26"/>
          <w:szCs w:val="26"/>
          <w:rtl/>
        </w:rPr>
        <w:t xml:space="preserve"> (</w:t>
      </w:r>
      <w:r w:rsidRPr="00B454AD">
        <w:rPr>
          <w:rFonts w:ascii="David" w:hAnsi="David"/>
          <w:sz w:val="26"/>
          <w:szCs w:val="26"/>
          <w:rtl/>
        </w:rPr>
        <w:t>14.12.2015)).</w:t>
      </w:r>
    </w:p>
    <w:p w:rsidR="005075CF" w:rsidRDefault="005075CF" w:rsidP="00B81E92">
      <w:pPr>
        <w:pStyle w:val="ad"/>
        <w:spacing w:before="120" w:after="120" w:line="360" w:lineRule="auto"/>
        <w:ind w:left="0"/>
        <w:jc w:val="both"/>
        <w:rPr>
          <w:rFonts w:ascii="David" w:hAnsi="David"/>
          <w:sz w:val="26"/>
          <w:szCs w:val="26"/>
        </w:rPr>
      </w:pPr>
    </w:p>
    <w:p w:rsidR="005075CF" w:rsidRPr="00B454AD" w:rsidRDefault="005075CF" w:rsidP="00B81E92">
      <w:pPr>
        <w:pStyle w:val="ad"/>
        <w:numPr>
          <w:ilvl w:val="0"/>
          <w:numId w:val="1"/>
        </w:numPr>
        <w:spacing w:before="120" w:after="120" w:line="360" w:lineRule="auto"/>
        <w:jc w:val="both"/>
        <w:rPr>
          <w:rFonts w:ascii="David" w:hAnsi="David"/>
          <w:bCs/>
          <w:sz w:val="26"/>
          <w:szCs w:val="26"/>
          <w:rtl/>
        </w:rPr>
      </w:pPr>
      <w:r>
        <w:rPr>
          <w:rFonts w:ascii="David" w:hAnsi="David"/>
          <w:sz w:val="26"/>
          <w:szCs w:val="26"/>
          <w:rtl/>
        </w:rPr>
        <w:t xml:space="preserve">הפסיקה אף התייחסה למערכת היחסים שבין בן-הזוג של הילד להורה. לאחר שנישאים הילדים הופך בדרך כלל בן הזוג לחלק מהמארג המשפחתי החוסה "תחת כנפיהם" של ההורים ונתמך בסיועם (תמ"ש (משפחה ראשון לציון) 7630/06 </w:t>
      </w:r>
      <w:r w:rsidRPr="00B454AD">
        <w:rPr>
          <w:rFonts w:ascii="David" w:hAnsi="David"/>
          <w:bCs/>
          <w:sz w:val="26"/>
          <w:szCs w:val="26"/>
          <w:rtl/>
        </w:rPr>
        <w:t xml:space="preserve">י.פ. נ' ר.פ.ה </w:t>
      </w:r>
      <w:r w:rsidRPr="00B454AD">
        <w:rPr>
          <w:rFonts w:ascii="David" w:hAnsi="David"/>
          <w:b/>
          <w:sz w:val="26"/>
          <w:szCs w:val="26"/>
          <w:rtl/>
        </w:rPr>
        <w:t>)</w:t>
      </w:r>
      <w:r w:rsidRPr="00B454AD">
        <w:rPr>
          <w:rFonts w:ascii="David" w:hAnsi="David"/>
          <w:bCs/>
          <w:sz w:val="26"/>
          <w:szCs w:val="26"/>
          <w:rtl/>
        </w:rPr>
        <w:t xml:space="preserve">.  </w:t>
      </w:r>
    </w:p>
    <w:p w:rsidR="005075CF" w:rsidRDefault="005075CF" w:rsidP="00B81E92">
      <w:pPr>
        <w:pStyle w:val="ad"/>
        <w:spacing w:line="360" w:lineRule="auto"/>
        <w:jc w:val="both"/>
        <w:rPr>
          <w:rFonts w:ascii="David" w:hAnsi="David"/>
          <w:sz w:val="26"/>
          <w:szCs w:val="26"/>
        </w:rPr>
      </w:pPr>
    </w:p>
    <w:p w:rsidR="005075CF" w:rsidRPr="00B454AD" w:rsidRDefault="005075CF" w:rsidP="00B81E92">
      <w:pPr>
        <w:spacing w:line="360" w:lineRule="auto"/>
        <w:ind w:firstLine="720"/>
        <w:jc w:val="both"/>
        <w:rPr>
          <w:rFonts w:ascii="David" w:hAnsi="David"/>
          <w:bCs/>
          <w:sz w:val="26"/>
          <w:szCs w:val="26"/>
          <w:u w:val="single"/>
          <w:rtl/>
        </w:rPr>
      </w:pPr>
      <w:r w:rsidRPr="00B454AD">
        <w:rPr>
          <w:rFonts w:ascii="David" w:hAnsi="David"/>
          <w:bCs/>
          <w:sz w:val="26"/>
          <w:szCs w:val="26"/>
          <w:u w:val="single"/>
          <w:rtl/>
        </w:rPr>
        <w:t>השימוש בסע' 8(2) לחוק יחסי ממון</w:t>
      </w:r>
    </w:p>
    <w:p w:rsidR="00CB79DB" w:rsidRPr="00CB79DB" w:rsidRDefault="005075CF" w:rsidP="00CF43DA">
      <w:pPr>
        <w:pStyle w:val="ad"/>
        <w:numPr>
          <w:ilvl w:val="0"/>
          <w:numId w:val="1"/>
        </w:numPr>
        <w:spacing w:before="120" w:after="120" w:line="360" w:lineRule="auto"/>
        <w:jc w:val="both"/>
        <w:rPr>
          <w:rFonts w:ascii="David" w:hAnsi="David"/>
          <w:sz w:val="26"/>
          <w:szCs w:val="26"/>
          <w:rtl/>
        </w:rPr>
      </w:pPr>
      <w:r w:rsidRPr="00CB79DB">
        <w:rPr>
          <w:rFonts w:ascii="David" w:hAnsi="David"/>
          <w:sz w:val="26"/>
          <w:szCs w:val="26"/>
          <w:rtl/>
        </w:rPr>
        <w:lastRenderedPageBreak/>
        <w:t>בסעיף 8(2) לחוק יחסי ממון הסמיך המחוקק את בתי המשפט לפעול בניגוד לברירת המחדל, באופן המאפשר להפחית מחלקו של בן-זוג באיזון, אל מתחת למחצית, אם קיימות נסיבות מיוחדות המצדיקות זאת</w:t>
      </w:r>
      <w:r w:rsidR="00CB79DB" w:rsidRPr="00CB79DB">
        <w:rPr>
          <w:rFonts w:ascii="David" w:hAnsi="David" w:hint="cs"/>
          <w:sz w:val="26"/>
          <w:szCs w:val="26"/>
          <w:rtl/>
        </w:rPr>
        <w:t>.</w:t>
      </w:r>
      <w:r w:rsidR="00CB79DB">
        <w:rPr>
          <w:rFonts w:ascii="David" w:hAnsi="David" w:hint="cs"/>
          <w:sz w:val="26"/>
          <w:szCs w:val="26"/>
          <w:rtl/>
        </w:rPr>
        <w:t xml:space="preserve"> </w:t>
      </w:r>
      <w:r w:rsidRPr="00CB79DB">
        <w:rPr>
          <w:rFonts w:ascii="David" w:hAnsi="David"/>
          <w:sz w:val="26"/>
          <w:szCs w:val="26"/>
          <w:rtl/>
        </w:rPr>
        <w:t xml:space="preserve">כבר נקבע רבות בפסיקה, כי המחוקק הותיר לשיקול דעת בית המשפט את פיתוח הכללים המתאימים לשימוש בסמכות זו, ואין המדובר ברשימה סגורה. </w:t>
      </w:r>
    </w:p>
    <w:p w:rsidR="005075CF" w:rsidRDefault="005075CF" w:rsidP="00CB79DB">
      <w:pPr>
        <w:spacing w:before="120" w:after="120" w:line="360" w:lineRule="auto"/>
        <w:ind w:left="720"/>
        <w:jc w:val="both"/>
        <w:rPr>
          <w:rFonts w:ascii="David" w:hAnsi="David"/>
          <w:b/>
          <w:sz w:val="26"/>
          <w:szCs w:val="26"/>
          <w:rtl/>
        </w:rPr>
      </w:pPr>
      <w:r>
        <w:rPr>
          <w:rFonts w:ascii="David" w:hAnsi="David"/>
          <w:sz w:val="26"/>
          <w:szCs w:val="26"/>
          <w:rtl/>
        </w:rPr>
        <w:t xml:space="preserve">בבע"מ 2045/15 </w:t>
      </w:r>
      <w:r w:rsidRPr="00CB79DB">
        <w:rPr>
          <w:rFonts w:ascii="David" w:hAnsi="David"/>
          <w:bCs/>
          <w:sz w:val="26"/>
          <w:szCs w:val="26"/>
          <w:rtl/>
        </w:rPr>
        <w:t>פלוני נ.  פלונית</w:t>
      </w:r>
      <w:r>
        <w:rPr>
          <w:rFonts w:ascii="David" w:hAnsi="David"/>
          <w:b/>
          <w:sz w:val="26"/>
          <w:szCs w:val="26"/>
          <w:rtl/>
        </w:rPr>
        <w:t xml:space="preserve">  (2015)</w:t>
      </w:r>
      <w:r>
        <w:rPr>
          <w:rFonts w:ascii="David" w:hAnsi="David"/>
          <w:sz w:val="26"/>
          <w:szCs w:val="26"/>
          <w:rtl/>
        </w:rPr>
        <w:t xml:space="preserve"> נאמר מפי כב' הש' א. רובינשטיין כך: </w:t>
      </w:r>
      <w:r>
        <w:rPr>
          <w:rFonts w:ascii="David" w:hAnsi="David"/>
          <w:b/>
          <w:sz w:val="26"/>
          <w:szCs w:val="26"/>
          <w:rtl/>
        </w:rPr>
        <w:t>"</w:t>
      </w:r>
      <w:r w:rsidRPr="00CB79DB">
        <w:rPr>
          <w:rFonts w:ascii="David" w:hAnsi="David"/>
          <w:bCs/>
          <w:sz w:val="26"/>
          <w:szCs w:val="26"/>
          <w:rtl/>
        </w:rPr>
        <w:t>אטעים כי העקרונות נקבעו זה מכבר בפסיקה, וברי כי השימוש החריג בסעיף ייעשה בזהירות רבה, אולם יישומם תחום לנסיבות כל תיק</w:t>
      </w:r>
      <w:r w:rsidR="00CB79DB" w:rsidRPr="00CB79DB">
        <w:rPr>
          <w:rFonts w:ascii="David" w:hAnsi="David" w:hint="cs"/>
          <w:bCs/>
          <w:sz w:val="26"/>
          <w:szCs w:val="26"/>
          <w:rtl/>
        </w:rPr>
        <w:t>...</w:t>
      </w:r>
      <w:r w:rsidRPr="00CB79DB">
        <w:rPr>
          <w:rFonts w:ascii="David" w:hAnsi="David"/>
          <w:bCs/>
          <w:sz w:val="26"/>
          <w:szCs w:val="26"/>
          <w:rtl/>
        </w:rPr>
        <w:t>בית המשפט המחוזי מנה אמות מידה אפשריות להפעלת הסעיף, הכרוכות בהפרש או שוני ניכר בהכנסות הצדדים או בנכסיהם, שוני בעול גידול הילדים, התנהגות אלימה או הברחת נכסים.</w:t>
      </w:r>
      <w:r w:rsidR="00CB79DB" w:rsidRPr="00CB79DB">
        <w:rPr>
          <w:rFonts w:ascii="David" w:hAnsi="David" w:hint="cs"/>
          <w:bCs/>
          <w:sz w:val="26"/>
          <w:szCs w:val="26"/>
          <w:rtl/>
        </w:rPr>
        <w:t>..</w:t>
      </w:r>
      <w:r w:rsidRPr="00CB79DB">
        <w:rPr>
          <w:rFonts w:ascii="David" w:hAnsi="David"/>
          <w:bCs/>
          <w:sz w:val="26"/>
          <w:szCs w:val="26"/>
          <w:rtl/>
        </w:rPr>
        <w:t xml:space="preserve"> וניתן לחשוב על נסיבות אחרות. עיקר העיקרים - עשיית צ</w:t>
      </w:r>
      <w:r w:rsidR="00CB79DB" w:rsidRPr="00CB79DB">
        <w:rPr>
          <w:rFonts w:ascii="David" w:hAnsi="David"/>
          <w:bCs/>
          <w:sz w:val="26"/>
          <w:szCs w:val="26"/>
          <w:rtl/>
        </w:rPr>
        <w:t>דק בנסיבות מיוחדות המהוות חריג</w:t>
      </w:r>
      <w:r>
        <w:rPr>
          <w:rFonts w:ascii="David" w:hAnsi="David"/>
          <w:b/>
          <w:sz w:val="26"/>
          <w:szCs w:val="26"/>
          <w:rtl/>
        </w:rPr>
        <w:t>".</w:t>
      </w:r>
    </w:p>
    <w:p w:rsidR="005075CF" w:rsidRDefault="005075CF" w:rsidP="00B81E92">
      <w:pPr>
        <w:spacing w:before="120" w:after="120" w:line="360" w:lineRule="auto"/>
        <w:jc w:val="both"/>
        <w:rPr>
          <w:rFonts w:ascii="David" w:hAnsi="David"/>
          <w:sz w:val="26"/>
          <w:szCs w:val="26"/>
          <w:rtl/>
        </w:rPr>
      </w:pPr>
    </w:p>
    <w:p w:rsidR="005075CF" w:rsidRPr="00CB79DB" w:rsidRDefault="005075CF" w:rsidP="00CB79DB">
      <w:pPr>
        <w:spacing w:before="120" w:after="120" w:line="360" w:lineRule="auto"/>
        <w:ind w:firstLine="360"/>
        <w:jc w:val="both"/>
        <w:rPr>
          <w:rFonts w:ascii="David" w:hAnsi="David"/>
          <w:bCs/>
          <w:sz w:val="26"/>
          <w:szCs w:val="26"/>
          <w:u w:val="single"/>
          <w:rtl/>
        </w:rPr>
      </w:pPr>
      <w:r w:rsidRPr="00CB79DB">
        <w:rPr>
          <w:rFonts w:ascii="David" w:hAnsi="David"/>
          <w:bCs/>
          <w:sz w:val="26"/>
          <w:szCs w:val="26"/>
          <w:u w:val="single"/>
          <w:rtl/>
        </w:rPr>
        <w:t xml:space="preserve">מן הדין לנדון </w:t>
      </w:r>
    </w:p>
    <w:p w:rsidR="00CB79DB" w:rsidRDefault="0037345C" w:rsidP="0037345C">
      <w:pPr>
        <w:pStyle w:val="ad"/>
        <w:numPr>
          <w:ilvl w:val="0"/>
          <w:numId w:val="1"/>
        </w:numPr>
        <w:spacing w:line="360" w:lineRule="auto"/>
        <w:jc w:val="both"/>
        <w:rPr>
          <w:sz w:val="26"/>
          <w:szCs w:val="26"/>
        </w:rPr>
      </w:pPr>
      <w:r>
        <w:rPr>
          <w:sz w:val="26"/>
          <w:szCs w:val="26"/>
          <w:rtl/>
        </w:rPr>
        <w:t>ראשית</w:t>
      </w:r>
      <w:r w:rsidR="00CB79DB">
        <w:rPr>
          <w:sz w:val="26"/>
          <w:szCs w:val="26"/>
          <w:rtl/>
        </w:rPr>
        <w:t xml:space="preserve"> יצויין, כי הצדדים באו לכלל הסכמה כי מועד הגשת הבקשה לישוב סכסוך, 14.7.19, יהיה למועד הקרע (ראו עמ' 77 לפרוטוקול), כך שעניין לנו באיזון נכסי הצדדים בתקופת השיתוף המשתרעת מ</w:t>
      </w:r>
      <w:r>
        <w:rPr>
          <w:sz w:val="26"/>
          <w:szCs w:val="26"/>
          <w:rtl/>
        </w:rPr>
        <w:t>מועד נישואיהם ביום 3.1.</w:t>
      </w:r>
      <w:r>
        <w:rPr>
          <w:rFonts w:hint="cs"/>
          <w:sz w:val="26"/>
          <w:szCs w:val="26"/>
          <w:rtl/>
        </w:rPr>
        <w:t>11</w:t>
      </w:r>
      <w:r w:rsidR="00CB79DB">
        <w:rPr>
          <w:sz w:val="26"/>
          <w:szCs w:val="26"/>
          <w:rtl/>
        </w:rPr>
        <w:t xml:space="preserve"> ועד ליום 14.7.19.</w:t>
      </w:r>
    </w:p>
    <w:p w:rsidR="00CB79DB" w:rsidRDefault="00CB79DB" w:rsidP="00CB79DB">
      <w:pPr>
        <w:pStyle w:val="ad"/>
        <w:spacing w:before="120" w:after="120" w:line="360" w:lineRule="auto"/>
        <w:jc w:val="both"/>
        <w:rPr>
          <w:rFonts w:ascii="David" w:hAnsi="David"/>
          <w:sz w:val="26"/>
          <w:szCs w:val="26"/>
        </w:rPr>
      </w:pPr>
    </w:p>
    <w:p w:rsidR="005075CF" w:rsidRDefault="005075CF" w:rsidP="0037345C">
      <w:pPr>
        <w:pStyle w:val="ad"/>
        <w:numPr>
          <w:ilvl w:val="0"/>
          <w:numId w:val="1"/>
        </w:numPr>
        <w:spacing w:before="120" w:after="120" w:line="360" w:lineRule="auto"/>
        <w:jc w:val="both"/>
        <w:rPr>
          <w:rFonts w:ascii="David" w:hAnsi="David"/>
          <w:sz w:val="26"/>
          <w:szCs w:val="26"/>
          <w:rtl/>
        </w:rPr>
      </w:pPr>
      <w:r>
        <w:rPr>
          <w:rFonts w:ascii="David" w:hAnsi="David"/>
          <w:sz w:val="26"/>
          <w:szCs w:val="26"/>
          <w:rtl/>
        </w:rPr>
        <w:lastRenderedPageBreak/>
        <w:t>הצ</w:t>
      </w:r>
      <w:r w:rsidR="0037345C">
        <w:rPr>
          <w:rFonts w:ascii="David" w:hAnsi="David"/>
          <w:sz w:val="26"/>
          <w:szCs w:val="26"/>
          <w:rtl/>
        </w:rPr>
        <w:t>דדים היו נשואים זה לזה למעלה מ-</w:t>
      </w:r>
      <w:r w:rsidR="0037345C">
        <w:rPr>
          <w:rFonts w:ascii="David" w:hAnsi="David" w:hint="cs"/>
          <w:sz w:val="26"/>
          <w:szCs w:val="26"/>
          <w:rtl/>
        </w:rPr>
        <w:t xml:space="preserve">8 </w:t>
      </w:r>
      <w:r>
        <w:rPr>
          <w:rFonts w:ascii="David" w:hAnsi="David"/>
          <w:sz w:val="26"/>
          <w:szCs w:val="26"/>
          <w:rtl/>
        </w:rPr>
        <w:t>שנים עד למועד  הקרע, כאשר אין חולק כי התנהלותם הכלכלית נעשתה באמצעות חשבון הבנק המשותף בבנק לאומי (להלן:"</w:t>
      </w:r>
      <w:r w:rsidRPr="00CB79DB">
        <w:rPr>
          <w:rFonts w:ascii="David" w:hAnsi="David"/>
          <w:bCs/>
          <w:sz w:val="26"/>
          <w:szCs w:val="26"/>
          <w:rtl/>
        </w:rPr>
        <w:t>החשבון המשותף</w:t>
      </w:r>
      <w:r>
        <w:rPr>
          <w:rFonts w:ascii="David" w:hAnsi="David"/>
          <w:sz w:val="26"/>
          <w:szCs w:val="26"/>
          <w:rtl/>
        </w:rPr>
        <w:t>").</w:t>
      </w:r>
    </w:p>
    <w:p w:rsidR="005075CF" w:rsidRDefault="005075CF" w:rsidP="00B81E92">
      <w:pPr>
        <w:pStyle w:val="ad"/>
        <w:spacing w:before="120" w:after="120" w:line="360" w:lineRule="auto"/>
        <w:jc w:val="both"/>
        <w:rPr>
          <w:rFonts w:ascii="David" w:hAnsi="David"/>
          <w:sz w:val="26"/>
          <w:szCs w:val="26"/>
        </w:rPr>
      </w:pPr>
      <w:r>
        <w:rPr>
          <w:rFonts w:ascii="David" w:hAnsi="David"/>
          <w:sz w:val="26"/>
          <w:szCs w:val="26"/>
          <w:rtl/>
        </w:rPr>
        <w:t>התובעת עצמה ציינה בכתב תביעתה כי "</w:t>
      </w:r>
      <w:r w:rsidRPr="00CB79DB">
        <w:rPr>
          <w:rFonts w:ascii="David" w:hAnsi="David"/>
          <w:bCs/>
          <w:sz w:val="26"/>
          <w:szCs w:val="26"/>
          <w:rtl/>
        </w:rPr>
        <w:t>לחשבון זה הצטרף הבעל והוא הפך להיות חשבון בנק המשותף לצדדים, ממנו ניהלו את החיים המשותפים, אליו הכניסו מדי חודש את הכנסותיהם מעבודה וממנו שילמו את הוצאות הבית השוטפות</w:t>
      </w:r>
      <w:r>
        <w:rPr>
          <w:rFonts w:ascii="David" w:hAnsi="David"/>
          <w:b/>
          <w:sz w:val="26"/>
          <w:szCs w:val="26"/>
          <w:rtl/>
        </w:rPr>
        <w:t>"</w:t>
      </w:r>
      <w:r>
        <w:rPr>
          <w:rFonts w:ascii="David" w:hAnsi="David"/>
          <w:sz w:val="26"/>
          <w:szCs w:val="26"/>
          <w:rtl/>
        </w:rPr>
        <w:t xml:space="preserve"> (ראו סע' 35 לכתב התביעה בתלה"מ 33813-07-21). התובעת אישרה את הדברים בעדותה בעמ' 22 ש' 21-22, וכך גם הנתבע, בעמ' 58 ש' 3-5.</w:t>
      </w:r>
    </w:p>
    <w:p w:rsidR="005075CF" w:rsidRDefault="005075CF" w:rsidP="00B81E92">
      <w:pPr>
        <w:pStyle w:val="ad"/>
        <w:spacing w:before="120" w:after="120" w:line="360" w:lineRule="auto"/>
        <w:jc w:val="both"/>
        <w:rPr>
          <w:rFonts w:ascii="David" w:hAnsi="David"/>
          <w:sz w:val="26"/>
          <w:szCs w:val="26"/>
          <w:rtl/>
        </w:rPr>
      </w:pPr>
      <w:r>
        <w:rPr>
          <w:rFonts w:ascii="David" w:hAnsi="David"/>
          <w:sz w:val="26"/>
          <w:szCs w:val="26"/>
          <w:rtl/>
        </w:rPr>
        <w:t>ממילא, ועל פי הפסיקה שהובאה לעיל, היו הכספים בחשבון הבנק משותפים לצדדים.</w:t>
      </w:r>
    </w:p>
    <w:p w:rsidR="00CB79DB" w:rsidRDefault="00CB79DB" w:rsidP="00CB79DB">
      <w:pPr>
        <w:pStyle w:val="ad"/>
        <w:spacing w:before="120" w:after="120" w:line="360" w:lineRule="auto"/>
        <w:jc w:val="both"/>
        <w:rPr>
          <w:rFonts w:ascii="David" w:hAnsi="David"/>
          <w:sz w:val="26"/>
          <w:szCs w:val="26"/>
        </w:rPr>
      </w:pPr>
    </w:p>
    <w:p w:rsidR="005075CF" w:rsidRDefault="005075CF" w:rsidP="00B81E92">
      <w:pPr>
        <w:pStyle w:val="David"/>
        <w:numPr>
          <w:ilvl w:val="0"/>
          <w:numId w:val="1"/>
        </w:numPr>
        <w:rPr>
          <w:rFonts w:ascii="David" w:hAnsi="David"/>
          <w:rtl/>
        </w:rPr>
      </w:pPr>
      <w:r>
        <w:rPr>
          <w:rFonts w:ascii="David" w:hAnsi="David"/>
          <w:sz w:val="26"/>
          <w:szCs w:val="26"/>
          <w:rtl/>
        </w:rPr>
        <w:t>טרם שנוסיף להתייחס לעדותה של התובעת בפני בית המשפט, נתעכב על בקשתה התמוהה של באת כוחה בסיכומיה:</w:t>
      </w:r>
    </w:p>
    <w:p w:rsidR="005075CF" w:rsidRDefault="005075CF" w:rsidP="00B81E92">
      <w:pPr>
        <w:pStyle w:val="David"/>
        <w:ind w:left="720"/>
        <w:rPr>
          <w:rFonts w:ascii="David" w:hAnsi="David"/>
        </w:rPr>
      </w:pPr>
      <w:r>
        <w:rPr>
          <w:rFonts w:ascii="David" w:hAnsi="David"/>
          <w:sz w:val="26"/>
          <w:szCs w:val="26"/>
          <w:rtl/>
        </w:rPr>
        <w:t>"</w:t>
      </w:r>
      <w:r w:rsidRPr="00CB79DB">
        <w:rPr>
          <w:rFonts w:ascii="David" w:hAnsi="David"/>
          <w:bCs/>
          <w:sz w:val="26"/>
          <w:szCs w:val="26"/>
          <w:rtl/>
        </w:rPr>
        <w:t xml:space="preserve">אין לתת משקל לעדותה הנגדית </w:t>
      </w:r>
      <w:r w:rsidRPr="00CB79DB">
        <w:rPr>
          <w:rFonts w:ascii="David" w:hAnsi="David"/>
          <w:b/>
          <w:sz w:val="26"/>
          <w:szCs w:val="26"/>
          <w:rtl/>
        </w:rPr>
        <w:t>(של התובעת, א.נ.)</w:t>
      </w:r>
      <w:r w:rsidRPr="00CB79DB">
        <w:rPr>
          <w:rFonts w:ascii="David" w:hAnsi="David"/>
          <w:bCs/>
          <w:sz w:val="26"/>
          <w:szCs w:val="26"/>
          <w:rtl/>
        </w:rPr>
        <w:t xml:space="preserve"> משום חוסר היכולת המילולית</w:t>
      </w:r>
      <w:r w:rsidRPr="00CB79DB">
        <w:rPr>
          <w:rFonts w:ascii="David" w:hAnsi="David"/>
          <w:bCs/>
          <w:rtl/>
        </w:rPr>
        <w:t xml:space="preserve"> </w:t>
      </w:r>
      <w:r w:rsidRPr="00CB79DB">
        <w:rPr>
          <w:rFonts w:ascii="David" w:hAnsi="David"/>
          <w:bCs/>
          <w:sz w:val="26"/>
          <w:szCs w:val="26"/>
          <w:rtl/>
        </w:rPr>
        <w:t>של מרשתי שהובא בפני בית המשפט במהלך החקירה הנגדית אף שלא יכלה להסתכל בכתבי הטענות ולהסתכל בנספחים</w:t>
      </w:r>
      <w:r>
        <w:rPr>
          <w:rFonts w:ascii="David" w:hAnsi="David"/>
          <w:b/>
          <w:sz w:val="26"/>
          <w:szCs w:val="26"/>
          <w:rtl/>
        </w:rPr>
        <w:t xml:space="preserve">" </w:t>
      </w:r>
      <w:r>
        <w:rPr>
          <w:rFonts w:ascii="David" w:hAnsi="David"/>
          <w:sz w:val="26"/>
          <w:szCs w:val="26"/>
          <w:rtl/>
        </w:rPr>
        <w:t>(ראו עמ' 65 ש' 11-13 ).</w:t>
      </w:r>
    </w:p>
    <w:p w:rsidR="005075CF" w:rsidRDefault="005075CF" w:rsidP="00B81E92">
      <w:pPr>
        <w:pStyle w:val="David"/>
        <w:ind w:left="720"/>
        <w:rPr>
          <w:rFonts w:ascii="David" w:hAnsi="David"/>
          <w:sz w:val="26"/>
          <w:szCs w:val="26"/>
          <w:rtl/>
        </w:rPr>
      </w:pPr>
      <w:r>
        <w:rPr>
          <w:rFonts w:ascii="David" w:hAnsi="David"/>
          <w:sz w:val="26"/>
          <w:szCs w:val="26"/>
          <w:rtl/>
        </w:rPr>
        <w:t>מדובר במי שהגישה שתי תביעות ושני תצהירי עדות ראשית  בהליכים נשוא פסק דין זה. לא הובאה כל אסמכתא  לכך שהתובעת אינה יכולה להיחקר על תצהיריה, ולא נמנע ממנה להביט בכתבי הטענות ובנספחים במהלך חקירתה. משכך, נדחית טענה זו מכל וכל.</w:t>
      </w:r>
    </w:p>
    <w:p w:rsidR="005075CF" w:rsidRDefault="005075CF" w:rsidP="00B81E92">
      <w:pPr>
        <w:pStyle w:val="David"/>
        <w:rPr>
          <w:rFonts w:ascii="David" w:hAnsi="David"/>
          <w:rtl/>
        </w:rPr>
      </w:pPr>
    </w:p>
    <w:p w:rsidR="005075CF" w:rsidRPr="00CB79DB" w:rsidRDefault="005075CF" w:rsidP="00CB79DB">
      <w:pPr>
        <w:pStyle w:val="David"/>
        <w:ind w:firstLine="360"/>
        <w:rPr>
          <w:rFonts w:ascii="David" w:hAnsi="David"/>
          <w:bCs/>
          <w:sz w:val="26"/>
          <w:szCs w:val="26"/>
          <w:u w:val="single"/>
          <w:rtl/>
        </w:rPr>
      </w:pPr>
      <w:r w:rsidRPr="00CB79DB">
        <w:rPr>
          <w:rFonts w:ascii="David" w:hAnsi="David"/>
          <w:bCs/>
          <w:sz w:val="26"/>
          <w:szCs w:val="26"/>
          <w:u w:val="single"/>
          <w:rtl/>
        </w:rPr>
        <w:lastRenderedPageBreak/>
        <w:t>לא הוכח כי הנתבע העלים כספים או ביצע פעולות חד צדדיות בחשבון הבנק של הצדדים</w:t>
      </w:r>
    </w:p>
    <w:p w:rsidR="005075CF" w:rsidRDefault="005075CF" w:rsidP="00B81E92">
      <w:pPr>
        <w:pStyle w:val="ad"/>
        <w:numPr>
          <w:ilvl w:val="0"/>
          <w:numId w:val="1"/>
        </w:numPr>
        <w:spacing w:line="360" w:lineRule="auto"/>
        <w:jc w:val="both"/>
        <w:rPr>
          <w:noProof w:val="0"/>
          <w:sz w:val="26"/>
          <w:szCs w:val="26"/>
        </w:rPr>
      </w:pPr>
      <w:r>
        <w:rPr>
          <w:rFonts w:ascii="David" w:hAnsi="David"/>
          <w:sz w:val="26"/>
          <w:szCs w:val="26"/>
          <w:rtl/>
        </w:rPr>
        <w:t xml:space="preserve">התובעת טענה בחקירתה, כי בשנתיים האחרונות לחייהם המשותפים של הצדדים, כאשר עבד הנתבע כנהג מונית, העלים </w:t>
      </w:r>
      <w:r w:rsidR="00CB79DB">
        <w:rPr>
          <w:rFonts w:ascii="David" w:hAnsi="David" w:hint="cs"/>
          <w:sz w:val="26"/>
          <w:szCs w:val="26"/>
          <w:rtl/>
        </w:rPr>
        <w:t xml:space="preserve">מפניה </w:t>
      </w:r>
      <w:r>
        <w:rPr>
          <w:rFonts w:ascii="David" w:hAnsi="David"/>
          <w:sz w:val="26"/>
          <w:szCs w:val="26"/>
          <w:rtl/>
        </w:rPr>
        <w:t>הכנסות (עמ' 19 ש' 19).</w:t>
      </w:r>
    </w:p>
    <w:p w:rsidR="005075CF" w:rsidRDefault="005075CF" w:rsidP="00B81E92">
      <w:pPr>
        <w:pStyle w:val="ad"/>
        <w:spacing w:line="360" w:lineRule="auto"/>
        <w:jc w:val="both"/>
        <w:rPr>
          <w:noProof w:val="0"/>
          <w:sz w:val="26"/>
          <w:szCs w:val="26"/>
        </w:rPr>
      </w:pPr>
      <w:r>
        <w:rPr>
          <w:rFonts w:ascii="David" w:hAnsi="David"/>
          <w:sz w:val="26"/>
          <w:szCs w:val="26"/>
          <w:rtl/>
        </w:rPr>
        <w:t xml:space="preserve">לדבריה: </w:t>
      </w:r>
      <w:r>
        <w:rPr>
          <w:sz w:val="26"/>
          <w:szCs w:val="26"/>
          <w:rtl/>
        </w:rPr>
        <w:t>"</w:t>
      </w:r>
      <w:r w:rsidRPr="00CB79DB">
        <w:rPr>
          <w:bCs/>
          <w:sz w:val="26"/>
          <w:szCs w:val="26"/>
          <w:rtl/>
        </w:rPr>
        <w:t>בשמונה שנים ראשונות לפני שנהיה נהג מונית היינו בחובות גדולים בבנק והיינו צריכים הרבה עזרה מההורים שלי ואחרי שהפך להיות נהג מונית הפסקנו לקחת  מההורים כי רמת החיים בבית הפכה להיות יותר גבוהה</w:t>
      </w:r>
      <w:r>
        <w:rPr>
          <w:noProof w:val="0"/>
          <w:sz w:val="26"/>
          <w:szCs w:val="26"/>
          <w:rtl/>
        </w:rPr>
        <w:t xml:space="preserve">" (עמ' 19 ש' 25-27). </w:t>
      </w:r>
    </w:p>
    <w:p w:rsidR="005075CF" w:rsidRDefault="005075CF" w:rsidP="00B81E92">
      <w:pPr>
        <w:pStyle w:val="ad"/>
        <w:spacing w:line="360" w:lineRule="auto"/>
        <w:jc w:val="both"/>
        <w:rPr>
          <w:noProof w:val="0"/>
          <w:sz w:val="26"/>
          <w:szCs w:val="26"/>
          <w:rtl/>
        </w:rPr>
      </w:pPr>
      <w:r>
        <w:rPr>
          <w:noProof w:val="0"/>
          <w:sz w:val="26"/>
          <w:szCs w:val="26"/>
          <w:rtl/>
        </w:rPr>
        <w:t xml:space="preserve">בהמשך, הוסיפה התובעת, כי הצדדים נהגו לערוך קניות ולשלם עליהן גם במזומן בתקופה זו (עמ' 20 ש' 26-28). </w:t>
      </w:r>
    </w:p>
    <w:p w:rsidR="005075CF" w:rsidRDefault="005075CF" w:rsidP="00B81E92">
      <w:pPr>
        <w:pStyle w:val="ad"/>
        <w:spacing w:line="360" w:lineRule="auto"/>
        <w:jc w:val="both"/>
        <w:rPr>
          <w:noProof w:val="0"/>
          <w:sz w:val="26"/>
          <w:szCs w:val="26"/>
          <w:rtl/>
        </w:rPr>
      </w:pPr>
      <w:r>
        <w:rPr>
          <w:noProof w:val="0"/>
          <w:sz w:val="26"/>
          <w:szCs w:val="26"/>
          <w:rtl/>
        </w:rPr>
        <w:t>ממילא, יש להסיק מדברי התובעת עצמה, כי כספים נוספים שהשתכר הנתבע, במזומן, שימשו לצורך משק הבית המשותף, ולא הוכח  כי הנתבע העלים כספים.</w:t>
      </w:r>
    </w:p>
    <w:p w:rsidR="005075CF" w:rsidRDefault="005075CF" w:rsidP="00B81E92">
      <w:pPr>
        <w:spacing w:before="120" w:after="120" w:line="360" w:lineRule="auto"/>
        <w:ind w:left="360"/>
        <w:jc w:val="both"/>
        <w:rPr>
          <w:rFonts w:ascii="David" w:hAnsi="David"/>
          <w:sz w:val="26"/>
          <w:szCs w:val="26"/>
        </w:rPr>
      </w:pPr>
    </w:p>
    <w:p w:rsidR="005075CF" w:rsidRDefault="005075CF" w:rsidP="00B81E92">
      <w:pPr>
        <w:pStyle w:val="ad"/>
        <w:numPr>
          <w:ilvl w:val="0"/>
          <w:numId w:val="1"/>
        </w:numPr>
        <w:spacing w:before="120" w:after="120" w:line="360" w:lineRule="auto"/>
        <w:jc w:val="both"/>
        <w:rPr>
          <w:rFonts w:ascii="David" w:hAnsi="David"/>
          <w:sz w:val="26"/>
          <w:szCs w:val="26"/>
          <w:rtl/>
        </w:rPr>
      </w:pPr>
      <w:r>
        <w:rPr>
          <w:rFonts w:ascii="David" w:hAnsi="David"/>
          <w:sz w:val="26"/>
          <w:szCs w:val="26"/>
          <w:rtl/>
        </w:rPr>
        <w:t xml:space="preserve">ועוד טענה התובעת, כי הנתבע נטל הלוואות מן החשבון המשותף, ללא ידיעתה.  אלא שבמקביל הודתה, כי ההלוואה שניטלה לצורך רכישת המונית ניתנה לשני הצדדים (עמ' 24 ש' 13), כי ידעה  על רכישת המונית (עמ' 24 ש' 10-11), וכי הצדדים משלמים כיום במשותף את החזרי ההלוואות שניטלו. (עמ' 32 ש' 31-32). </w:t>
      </w:r>
    </w:p>
    <w:p w:rsidR="005075CF" w:rsidRDefault="005075CF" w:rsidP="00A91400">
      <w:pPr>
        <w:pStyle w:val="ad"/>
        <w:spacing w:before="120" w:after="120" w:line="360" w:lineRule="auto"/>
        <w:jc w:val="both"/>
        <w:rPr>
          <w:rFonts w:ascii="David" w:hAnsi="David"/>
          <w:sz w:val="26"/>
          <w:szCs w:val="26"/>
        </w:rPr>
      </w:pPr>
      <w:r>
        <w:rPr>
          <w:rFonts w:ascii="David" w:hAnsi="David"/>
          <w:sz w:val="26"/>
          <w:szCs w:val="26"/>
          <w:rtl/>
        </w:rPr>
        <w:t xml:space="preserve">הנתבע הבהיר, כי טיפל בענייניהם הכספיים של הצדדים מתוך </w:t>
      </w:r>
      <w:r w:rsidR="00A91400">
        <w:rPr>
          <w:rFonts w:ascii="David" w:hAnsi="David" w:hint="cs"/>
          <w:sz w:val="26"/>
          <w:szCs w:val="26"/>
          <w:rtl/>
        </w:rPr>
        <w:t>תיאום</w:t>
      </w:r>
      <w:r>
        <w:rPr>
          <w:rFonts w:ascii="David" w:hAnsi="David"/>
          <w:sz w:val="26"/>
          <w:szCs w:val="26"/>
          <w:rtl/>
        </w:rPr>
        <w:t>, כשהוא מעדכן את התובעת, אשר היתה מודעת להלוואות שנטל (עמ' 59 ש' 18,26 ו-  34-35).</w:t>
      </w:r>
    </w:p>
    <w:p w:rsidR="005075CF" w:rsidRDefault="005075CF" w:rsidP="00A91400">
      <w:pPr>
        <w:pStyle w:val="ad"/>
        <w:spacing w:before="120" w:after="120" w:line="360" w:lineRule="auto"/>
        <w:jc w:val="both"/>
        <w:rPr>
          <w:rFonts w:ascii="David" w:hAnsi="David"/>
          <w:sz w:val="26"/>
          <w:szCs w:val="26"/>
          <w:rtl/>
        </w:rPr>
      </w:pPr>
      <w:r>
        <w:rPr>
          <w:rFonts w:ascii="David" w:hAnsi="David"/>
          <w:sz w:val="26"/>
          <w:szCs w:val="26"/>
          <w:rtl/>
        </w:rPr>
        <w:lastRenderedPageBreak/>
        <w:t>היות שהנתבעת היתה מודעת לרכישת המונית, אשר הכנסותיה שימשו את הצדדים, ובהינתן כי ההלוואה נלקחה במסגרת החשבון המשותף ושולמה ממנו, תוך שה</w:t>
      </w:r>
      <w:r w:rsidR="00A91400">
        <w:rPr>
          <w:rFonts w:ascii="David" w:hAnsi="David" w:hint="cs"/>
          <w:sz w:val="26"/>
          <w:szCs w:val="26"/>
          <w:rtl/>
        </w:rPr>
        <w:t>דברים בידיעת ה</w:t>
      </w:r>
      <w:r>
        <w:rPr>
          <w:rFonts w:ascii="David" w:hAnsi="David"/>
          <w:sz w:val="26"/>
          <w:szCs w:val="26"/>
          <w:rtl/>
        </w:rPr>
        <w:t>נתבעת, אין מקום להשית את השבת ההלוואה על הנתבע לבדו.</w:t>
      </w:r>
    </w:p>
    <w:p w:rsidR="005075CF" w:rsidRDefault="005075CF" w:rsidP="00B81E92">
      <w:pPr>
        <w:pStyle w:val="ad"/>
        <w:spacing w:line="360" w:lineRule="auto"/>
        <w:jc w:val="both"/>
        <w:rPr>
          <w:rFonts w:ascii="David" w:hAnsi="David"/>
          <w:sz w:val="26"/>
          <w:szCs w:val="26"/>
        </w:rPr>
      </w:pPr>
    </w:p>
    <w:p w:rsidR="005075CF" w:rsidRPr="00A91400" w:rsidRDefault="005075CF" w:rsidP="00A91400">
      <w:pPr>
        <w:spacing w:line="360" w:lineRule="auto"/>
        <w:ind w:firstLine="360"/>
        <w:jc w:val="both"/>
        <w:rPr>
          <w:rFonts w:ascii="David" w:hAnsi="David"/>
          <w:bCs/>
          <w:sz w:val="26"/>
          <w:szCs w:val="26"/>
          <w:u w:val="single"/>
          <w:rtl/>
        </w:rPr>
      </w:pPr>
      <w:r w:rsidRPr="00A91400">
        <w:rPr>
          <w:rFonts w:ascii="David" w:hAnsi="David"/>
          <w:bCs/>
          <w:sz w:val="26"/>
          <w:szCs w:val="26"/>
          <w:u w:val="single"/>
          <w:rtl/>
        </w:rPr>
        <w:t>לא הוכח כי הצדדים לוו כספים מבני משפחתה של התובעת</w:t>
      </w:r>
    </w:p>
    <w:p w:rsidR="005075CF" w:rsidRDefault="005075CF" w:rsidP="00B81E92">
      <w:pPr>
        <w:pStyle w:val="ad"/>
        <w:numPr>
          <w:ilvl w:val="0"/>
          <w:numId w:val="1"/>
        </w:numPr>
        <w:spacing w:before="120" w:after="120" w:line="360" w:lineRule="auto"/>
        <w:jc w:val="both"/>
        <w:rPr>
          <w:rFonts w:ascii="David" w:hAnsi="David"/>
          <w:sz w:val="26"/>
          <w:szCs w:val="26"/>
          <w:rtl/>
        </w:rPr>
      </w:pPr>
      <w:r>
        <w:rPr>
          <w:rFonts w:ascii="David" w:hAnsi="David"/>
          <w:sz w:val="26"/>
          <w:szCs w:val="26"/>
          <w:rtl/>
        </w:rPr>
        <w:t>אליבא התובעת, לוותה כספים מאמה, מאביה, ומבן זוגה של אמה (עמ' 24 ש' 31-34). תביעה בעניין זה לא הוגשה בידי בני המשפחה, אליבא התובעת לא נחתם הסכם הלוואה כלשהו עם מי מהם (עמ' 25 ש' 4-9), אף שהסכם הלוואה בין התובעת לאמה ולבן הזוג של אמה מיום 15.5.20 צורף לתצהיר התובעת בתביעת המזונות.</w:t>
      </w:r>
    </w:p>
    <w:p w:rsidR="005075CF" w:rsidRDefault="005075CF" w:rsidP="00B81E92">
      <w:pPr>
        <w:pStyle w:val="ad"/>
        <w:spacing w:before="120" w:after="120" w:line="360" w:lineRule="auto"/>
        <w:jc w:val="both"/>
        <w:rPr>
          <w:rFonts w:ascii="David" w:hAnsi="David"/>
          <w:sz w:val="26"/>
          <w:szCs w:val="26"/>
        </w:rPr>
      </w:pPr>
      <w:r>
        <w:rPr>
          <w:rFonts w:ascii="David" w:hAnsi="David"/>
          <w:sz w:val="26"/>
          <w:szCs w:val="26"/>
          <w:rtl/>
        </w:rPr>
        <w:t>לדברי אמה של התובעת, "</w:t>
      </w:r>
      <w:r w:rsidRPr="00A91400">
        <w:rPr>
          <w:rFonts w:ascii="David" w:hAnsi="David"/>
          <w:bCs/>
          <w:sz w:val="26"/>
          <w:szCs w:val="26"/>
          <w:rtl/>
        </w:rPr>
        <w:t>לפעמים רושמים ולפעמים לא כי יש סכומים שלא נרשמים</w:t>
      </w:r>
      <w:r>
        <w:rPr>
          <w:rFonts w:ascii="David" w:hAnsi="David"/>
          <w:b/>
          <w:sz w:val="26"/>
          <w:szCs w:val="26"/>
          <w:rtl/>
        </w:rPr>
        <w:t xml:space="preserve">" </w:t>
      </w:r>
      <w:r>
        <w:rPr>
          <w:rFonts w:ascii="David" w:hAnsi="David"/>
          <w:sz w:val="26"/>
          <w:szCs w:val="26"/>
          <w:rtl/>
        </w:rPr>
        <w:t xml:space="preserve">(עמ' 46 ש' 32). </w:t>
      </w:r>
    </w:p>
    <w:p w:rsidR="005075CF" w:rsidRDefault="00F6623E" w:rsidP="00F6623E">
      <w:pPr>
        <w:pStyle w:val="ad"/>
        <w:spacing w:before="120" w:after="120" w:line="360" w:lineRule="auto"/>
        <w:jc w:val="both"/>
        <w:rPr>
          <w:rFonts w:ascii="David" w:hAnsi="David"/>
          <w:sz w:val="26"/>
          <w:szCs w:val="26"/>
        </w:rPr>
      </w:pPr>
      <w:r>
        <w:rPr>
          <w:rFonts w:ascii="David" w:hAnsi="David"/>
          <w:sz w:val="26"/>
          <w:szCs w:val="26"/>
          <w:rtl/>
        </w:rPr>
        <w:t>בן זוגה של אם התובע</w:t>
      </w:r>
      <w:r>
        <w:rPr>
          <w:rFonts w:ascii="David" w:hAnsi="David" w:hint="cs"/>
          <w:sz w:val="26"/>
          <w:szCs w:val="26"/>
          <w:rtl/>
        </w:rPr>
        <w:t>ת</w:t>
      </w:r>
      <w:r w:rsidR="005075CF">
        <w:rPr>
          <w:rFonts w:ascii="David" w:hAnsi="David"/>
          <w:sz w:val="26"/>
          <w:szCs w:val="26"/>
          <w:rtl/>
        </w:rPr>
        <w:t>, ציין מפורשות בתצהירו כי היה מעורב בהתנהלותם הכלכלית של הצדדים וכן כי פעל "</w:t>
      </w:r>
      <w:r w:rsidR="005075CF" w:rsidRPr="00A91400">
        <w:rPr>
          <w:rFonts w:ascii="David" w:hAnsi="David"/>
          <w:bCs/>
          <w:sz w:val="26"/>
          <w:szCs w:val="26"/>
          <w:rtl/>
        </w:rPr>
        <w:t>לסייע ממש בהעברות כספים ישירות לחשבונם מחשבוני האישי, לסייע בקניית מצרכים, מתן מזומנים, ואף לשימוש בכרטיס האשראי שלי כשהגיעו לפריצת המסגרת שלהם</w:t>
      </w:r>
      <w:r w:rsidR="005075CF">
        <w:rPr>
          <w:rFonts w:ascii="David" w:hAnsi="David"/>
          <w:sz w:val="26"/>
          <w:szCs w:val="26"/>
          <w:rtl/>
        </w:rPr>
        <w:t xml:space="preserve"> " (סע' 11 לתצהיר).</w:t>
      </w:r>
    </w:p>
    <w:p w:rsidR="005075CF" w:rsidRDefault="005075CF" w:rsidP="00B81E92">
      <w:pPr>
        <w:pStyle w:val="ad"/>
        <w:spacing w:line="360" w:lineRule="auto"/>
        <w:jc w:val="both"/>
        <w:rPr>
          <w:rFonts w:ascii="David" w:hAnsi="David"/>
          <w:sz w:val="26"/>
          <w:szCs w:val="26"/>
        </w:rPr>
      </w:pPr>
    </w:p>
    <w:p w:rsidR="005075CF" w:rsidRDefault="005075CF" w:rsidP="00B81E92">
      <w:pPr>
        <w:pStyle w:val="ad"/>
        <w:numPr>
          <w:ilvl w:val="0"/>
          <w:numId w:val="1"/>
        </w:numPr>
        <w:spacing w:before="120" w:after="120" w:line="360" w:lineRule="auto"/>
        <w:jc w:val="both"/>
        <w:rPr>
          <w:rFonts w:ascii="David" w:hAnsi="David"/>
          <w:sz w:val="26"/>
          <w:szCs w:val="26"/>
          <w:rtl/>
        </w:rPr>
      </w:pPr>
      <w:r>
        <w:rPr>
          <w:rFonts w:ascii="David" w:hAnsi="David"/>
          <w:sz w:val="26"/>
          <w:szCs w:val="26"/>
          <w:rtl/>
        </w:rPr>
        <w:t>אין חולק כי מצבם הכלכלי של הצדדים אילץ אותם להיעזר בבני משפחתם  לפרקים, אולם בהינתן כי מערכת יחסים זו מכתיבה העברת כספים במתנה ולא כהלוואה, בהעדר אסמכתא לכך שכספים ניתנו על מנת שיושבו לאו</w:t>
      </w:r>
      <w:r w:rsidR="00F6623E">
        <w:rPr>
          <w:rFonts w:ascii="David" w:hAnsi="David"/>
          <w:sz w:val="26"/>
          <w:szCs w:val="26"/>
          <w:rtl/>
        </w:rPr>
        <w:t xml:space="preserve">תם בני משפחה, לנוכח הצהרת </w:t>
      </w:r>
      <w:r w:rsidR="00F6623E">
        <w:rPr>
          <w:rFonts w:ascii="David" w:hAnsi="David" w:hint="cs"/>
          <w:sz w:val="26"/>
          <w:szCs w:val="26"/>
          <w:rtl/>
        </w:rPr>
        <w:t>בן הזוג של אם התובעת</w:t>
      </w:r>
      <w:r>
        <w:rPr>
          <w:rFonts w:ascii="David" w:hAnsi="David"/>
          <w:sz w:val="26"/>
          <w:szCs w:val="26"/>
          <w:rtl/>
        </w:rPr>
        <w:t xml:space="preserve"> ואף אל מול  דבריה הרפים של  אם התובעת בעניין זה, לא מצאתי כי הוכח שמדובר בהלוואה, </w:t>
      </w:r>
      <w:r>
        <w:rPr>
          <w:rFonts w:ascii="David" w:hAnsi="David"/>
          <w:sz w:val="26"/>
          <w:szCs w:val="26"/>
          <w:rtl/>
        </w:rPr>
        <w:lastRenderedPageBreak/>
        <w:t>אלא כי הכספים ניתנו לצדדים במתנה כעזרה וכסיוע. הדברים יפים אף ביחס לכספים שהעבירה אם התובעת לחשבון המשותף במסגרת רכישת הנכס, כפי שיובא בהמשך.</w:t>
      </w:r>
    </w:p>
    <w:p w:rsidR="005075CF" w:rsidRDefault="005075CF" w:rsidP="00B81E92">
      <w:pPr>
        <w:pStyle w:val="ad"/>
        <w:spacing w:line="360" w:lineRule="auto"/>
        <w:jc w:val="both"/>
        <w:rPr>
          <w:rFonts w:ascii="David" w:hAnsi="David"/>
          <w:sz w:val="26"/>
          <w:szCs w:val="26"/>
        </w:rPr>
      </w:pPr>
    </w:p>
    <w:p w:rsidR="005075CF" w:rsidRPr="00A91400" w:rsidRDefault="005075CF" w:rsidP="00A91400">
      <w:pPr>
        <w:spacing w:line="360" w:lineRule="auto"/>
        <w:ind w:firstLine="360"/>
        <w:jc w:val="both"/>
        <w:rPr>
          <w:rFonts w:ascii="David" w:hAnsi="David"/>
          <w:bCs/>
          <w:sz w:val="26"/>
          <w:szCs w:val="26"/>
          <w:u w:val="single"/>
          <w:rtl/>
        </w:rPr>
      </w:pPr>
      <w:r w:rsidRPr="00A91400">
        <w:rPr>
          <w:rFonts w:ascii="David" w:hAnsi="David"/>
          <w:bCs/>
          <w:sz w:val="26"/>
          <w:szCs w:val="26"/>
          <w:u w:val="single"/>
          <w:rtl/>
        </w:rPr>
        <w:t>הנכס הוא נכס משותף</w:t>
      </w:r>
    </w:p>
    <w:p w:rsidR="005075CF" w:rsidRDefault="005075CF" w:rsidP="00F6623E">
      <w:pPr>
        <w:pStyle w:val="ad"/>
        <w:numPr>
          <w:ilvl w:val="0"/>
          <w:numId w:val="1"/>
        </w:numPr>
        <w:spacing w:before="120" w:after="120" w:line="360" w:lineRule="auto"/>
        <w:jc w:val="both"/>
        <w:rPr>
          <w:rFonts w:ascii="David" w:hAnsi="David"/>
          <w:sz w:val="26"/>
          <w:szCs w:val="26"/>
          <w:rtl/>
        </w:rPr>
      </w:pPr>
      <w:r>
        <w:rPr>
          <w:rFonts w:ascii="David" w:hAnsi="David"/>
          <w:sz w:val="26"/>
          <w:szCs w:val="26"/>
          <w:rtl/>
        </w:rPr>
        <w:t>לרשות התובעת עמד חשבון חיסכון שנפתח ביום 1.6.98  ובו הפקידו אמה ואף סבתה כספים לאורך שנים (נספח 1 לכתב התביעה בתלה"מ</w:t>
      </w:r>
      <w:r w:rsidR="00F6623E">
        <w:rPr>
          <w:rFonts w:ascii="David" w:hAnsi="David"/>
          <w:sz w:val="26"/>
          <w:szCs w:val="26"/>
          <w:rtl/>
        </w:rPr>
        <w:t xml:space="preserve"> 33813-07-21, וסע' 3 לתצהיר האם</w:t>
      </w:r>
      <w:r>
        <w:rPr>
          <w:rFonts w:ascii="David" w:hAnsi="David"/>
          <w:sz w:val="26"/>
          <w:szCs w:val="26"/>
          <w:rtl/>
        </w:rPr>
        <w:t>). אם התובעת הפקידה עבור התובעת כספים גם בקופות גמל (סע' 4 לתצהיר האם). הכספים נצברו על שם התובעת ונותרו בחשבונות על שמה גם לאחר נישואי הצדדים (סע' 11 לתצהיר האם), כאשר בין שיקוליה של האם להותרת הכספים על שם התובעת נמנ</w:t>
      </w:r>
      <w:r w:rsidR="00A91400">
        <w:rPr>
          <w:rFonts w:ascii="David" w:hAnsi="David" w:hint="cs"/>
          <w:sz w:val="26"/>
          <w:szCs w:val="26"/>
          <w:rtl/>
        </w:rPr>
        <w:t>י</w:t>
      </w:r>
      <w:r>
        <w:rPr>
          <w:rFonts w:ascii="David" w:hAnsi="David"/>
          <w:sz w:val="26"/>
          <w:szCs w:val="26"/>
          <w:rtl/>
        </w:rPr>
        <w:t>ת התנהלותו הכלכלית המפוקפקת של הנתבע.</w:t>
      </w:r>
    </w:p>
    <w:p w:rsidR="005075CF" w:rsidRDefault="005075CF" w:rsidP="00B81E92">
      <w:pPr>
        <w:pStyle w:val="ad"/>
        <w:spacing w:before="120" w:after="120" w:line="360" w:lineRule="auto"/>
        <w:jc w:val="both"/>
        <w:rPr>
          <w:rFonts w:ascii="David" w:hAnsi="David"/>
          <w:sz w:val="26"/>
          <w:szCs w:val="26"/>
        </w:rPr>
      </w:pPr>
    </w:p>
    <w:p w:rsidR="005075CF" w:rsidRDefault="005075CF" w:rsidP="00F6623E">
      <w:pPr>
        <w:pStyle w:val="ad"/>
        <w:numPr>
          <w:ilvl w:val="0"/>
          <w:numId w:val="1"/>
        </w:numPr>
        <w:spacing w:before="120" w:after="120" w:line="360" w:lineRule="auto"/>
        <w:jc w:val="both"/>
        <w:rPr>
          <w:rFonts w:ascii="David" w:hAnsi="David"/>
          <w:sz w:val="26"/>
          <w:szCs w:val="26"/>
        </w:rPr>
      </w:pPr>
      <w:r>
        <w:rPr>
          <w:rFonts w:ascii="David" w:hAnsi="David"/>
          <w:sz w:val="26"/>
          <w:szCs w:val="26"/>
          <w:rtl/>
        </w:rPr>
        <w:t>בשנת 2014 ביקשה האם לרכוש קרקע ב</w:t>
      </w:r>
      <w:r w:rsidR="00F6623E">
        <w:rPr>
          <w:rFonts w:ascii="David" w:hAnsi="David" w:hint="cs"/>
          <w:sz w:val="26"/>
          <w:szCs w:val="26"/>
          <w:rtl/>
        </w:rPr>
        <w:t>___</w:t>
      </w:r>
      <w:r>
        <w:rPr>
          <w:rFonts w:ascii="David" w:hAnsi="David"/>
          <w:sz w:val="26"/>
          <w:szCs w:val="26"/>
          <w:rtl/>
        </w:rPr>
        <w:t>לתובעת, תוך שימוש  בכספים שנצברו בשני אפיקי ההשקעה, החיסכון וקופות הגמל. מדובר בקרקע  אשר הופשרה לבניה באותה עת, ואשר סך כל הכספים שנצברו, 209,000 ₪, שימשו לרכישתה.</w:t>
      </w:r>
    </w:p>
    <w:p w:rsidR="005075CF" w:rsidRDefault="005075CF" w:rsidP="00B81E92">
      <w:pPr>
        <w:pStyle w:val="ad"/>
        <w:spacing w:line="360" w:lineRule="auto"/>
        <w:jc w:val="both"/>
        <w:rPr>
          <w:rFonts w:ascii="David" w:hAnsi="David"/>
          <w:sz w:val="26"/>
          <w:szCs w:val="26"/>
        </w:rPr>
      </w:pPr>
    </w:p>
    <w:p w:rsidR="005075CF" w:rsidRDefault="005075CF" w:rsidP="00F812AB">
      <w:pPr>
        <w:pStyle w:val="ad"/>
        <w:spacing w:line="360" w:lineRule="auto"/>
        <w:jc w:val="both"/>
        <w:rPr>
          <w:rFonts w:ascii="David" w:hAnsi="David"/>
          <w:sz w:val="26"/>
          <w:szCs w:val="26"/>
          <w:rtl/>
        </w:rPr>
      </w:pPr>
      <w:r>
        <w:rPr>
          <w:rFonts w:ascii="David" w:hAnsi="David"/>
          <w:sz w:val="26"/>
          <w:szCs w:val="26"/>
          <w:rtl/>
        </w:rPr>
        <w:t xml:space="preserve">אין </w:t>
      </w:r>
      <w:r w:rsidR="00F812AB">
        <w:rPr>
          <w:rFonts w:ascii="David" w:hAnsi="David" w:hint="cs"/>
          <w:sz w:val="26"/>
          <w:szCs w:val="26"/>
          <w:rtl/>
        </w:rPr>
        <w:t>מחלוקת</w:t>
      </w:r>
      <w:r>
        <w:rPr>
          <w:rFonts w:ascii="David" w:hAnsi="David"/>
          <w:sz w:val="26"/>
          <w:szCs w:val="26"/>
          <w:rtl/>
        </w:rPr>
        <w:t>, והדברים עולים מנספחים 4-9 לכתב התביעה בתלה"מ 33813-07-21, כי השתלשלות העניינים ברכישת הנכס היתה כדלקמן:</w:t>
      </w:r>
    </w:p>
    <w:p w:rsidR="005075CF" w:rsidRDefault="005075CF" w:rsidP="00B81E92">
      <w:pPr>
        <w:pStyle w:val="ad"/>
        <w:spacing w:line="360" w:lineRule="auto"/>
        <w:jc w:val="both"/>
        <w:rPr>
          <w:rFonts w:ascii="David" w:hAnsi="David"/>
          <w:sz w:val="26"/>
          <w:szCs w:val="26"/>
          <w:rtl/>
        </w:rPr>
      </w:pPr>
    </w:p>
    <w:p w:rsidR="005075CF" w:rsidRDefault="005075CF" w:rsidP="00B81E92">
      <w:pPr>
        <w:pStyle w:val="ad"/>
        <w:spacing w:line="360" w:lineRule="auto"/>
        <w:jc w:val="both"/>
        <w:rPr>
          <w:rFonts w:ascii="David" w:hAnsi="David"/>
          <w:sz w:val="26"/>
          <w:szCs w:val="26"/>
          <w:rtl/>
        </w:rPr>
      </w:pPr>
      <w:r>
        <w:rPr>
          <w:rFonts w:ascii="David" w:hAnsi="David"/>
          <w:sz w:val="26"/>
          <w:szCs w:val="26"/>
          <w:rtl/>
        </w:rPr>
        <w:lastRenderedPageBreak/>
        <w:t xml:space="preserve">ביום 6.3.14 הועבר סך של 93,000 ₪ מן החסכון לחשבון המשותף. </w:t>
      </w:r>
    </w:p>
    <w:p w:rsidR="005075CF" w:rsidRDefault="005075CF" w:rsidP="00B81E92">
      <w:pPr>
        <w:pStyle w:val="ad"/>
        <w:spacing w:line="360" w:lineRule="auto"/>
        <w:jc w:val="both"/>
        <w:rPr>
          <w:rFonts w:ascii="David" w:hAnsi="David"/>
          <w:sz w:val="26"/>
          <w:szCs w:val="26"/>
          <w:rtl/>
        </w:rPr>
      </w:pPr>
      <w:r>
        <w:rPr>
          <w:rFonts w:ascii="David" w:hAnsi="David"/>
          <w:sz w:val="26"/>
          <w:szCs w:val="26"/>
          <w:rtl/>
        </w:rPr>
        <w:t>סך של 43,000 ₪ שולם בתאריכים 14.5.14, ו- 19.5.14 בגין הנכס.</w:t>
      </w:r>
    </w:p>
    <w:p w:rsidR="005075CF" w:rsidRDefault="005075CF" w:rsidP="00B81E92">
      <w:pPr>
        <w:pStyle w:val="ad"/>
        <w:spacing w:line="360" w:lineRule="auto"/>
        <w:jc w:val="both"/>
        <w:rPr>
          <w:rFonts w:ascii="David" w:hAnsi="David"/>
          <w:sz w:val="26"/>
          <w:szCs w:val="26"/>
          <w:rtl/>
        </w:rPr>
      </w:pPr>
      <w:r>
        <w:rPr>
          <w:rFonts w:ascii="David" w:hAnsi="David"/>
          <w:sz w:val="26"/>
          <w:szCs w:val="26"/>
          <w:rtl/>
        </w:rPr>
        <w:t>אם התובעת העבירה לחשבון המשותף ביום 1.8.14 וביום 3.8.14 סך כולל  של 10,000 ₪.</w:t>
      </w:r>
    </w:p>
    <w:p w:rsidR="005075CF" w:rsidRDefault="00A91400" w:rsidP="00A91400">
      <w:pPr>
        <w:pStyle w:val="ad"/>
        <w:spacing w:line="360" w:lineRule="auto"/>
        <w:jc w:val="both"/>
        <w:rPr>
          <w:rFonts w:ascii="David" w:hAnsi="David"/>
          <w:sz w:val="26"/>
          <w:szCs w:val="26"/>
          <w:rtl/>
        </w:rPr>
      </w:pPr>
      <w:r>
        <w:rPr>
          <w:rFonts w:ascii="David" w:hAnsi="David"/>
          <w:sz w:val="26"/>
          <w:szCs w:val="26"/>
          <w:rtl/>
        </w:rPr>
        <w:t xml:space="preserve">ביום </w:t>
      </w:r>
      <w:r>
        <w:rPr>
          <w:rFonts w:ascii="David" w:hAnsi="David" w:hint="cs"/>
          <w:sz w:val="26"/>
          <w:szCs w:val="26"/>
          <w:rtl/>
        </w:rPr>
        <w:t>10</w:t>
      </w:r>
      <w:r w:rsidR="005075CF">
        <w:rPr>
          <w:rFonts w:ascii="David" w:hAnsi="David"/>
          <w:sz w:val="26"/>
          <w:szCs w:val="26"/>
          <w:rtl/>
        </w:rPr>
        <w:t>.8.14 נפדו כספי קופות הגמל בסך של 116,434 ₪.</w:t>
      </w:r>
    </w:p>
    <w:p w:rsidR="005075CF" w:rsidRDefault="005075CF" w:rsidP="00B81E92">
      <w:pPr>
        <w:pStyle w:val="ad"/>
        <w:spacing w:line="360" w:lineRule="auto"/>
        <w:jc w:val="both"/>
        <w:rPr>
          <w:rFonts w:ascii="David" w:hAnsi="David"/>
          <w:sz w:val="26"/>
          <w:szCs w:val="26"/>
          <w:rtl/>
        </w:rPr>
      </w:pPr>
      <w:r>
        <w:rPr>
          <w:rFonts w:ascii="David" w:hAnsi="David"/>
          <w:sz w:val="26"/>
          <w:szCs w:val="26"/>
          <w:rtl/>
        </w:rPr>
        <w:t>ביום 19.8.14 הועבר סך של 178,340 ₪ למשרד עו"ד בגין רכישת הנכס.</w:t>
      </w:r>
    </w:p>
    <w:p w:rsidR="005075CF" w:rsidRDefault="005075CF" w:rsidP="00B81E92">
      <w:pPr>
        <w:pStyle w:val="ad"/>
        <w:spacing w:line="360" w:lineRule="auto"/>
        <w:jc w:val="both"/>
        <w:rPr>
          <w:rFonts w:ascii="David" w:hAnsi="David"/>
          <w:sz w:val="26"/>
          <w:szCs w:val="26"/>
          <w:rtl/>
        </w:rPr>
      </w:pPr>
      <w:r>
        <w:rPr>
          <w:rFonts w:ascii="David" w:hAnsi="David"/>
          <w:sz w:val="26"/>
          <w:szCs w:val="26"/>
          <w:rtl/>
        </w:rPr>
        <w:t xml:space="preserve">סכום נוסף של 20,000 ₪ העבירה אם התבעת לחשבון המשותף ביום 21.8.14. </w:t>
      </w:r>
    </w:p>
    <w:p w:rsidR="005075CF" w:rsidRDefault="005075CF" w:rsidP="00B81E92">
      <w:pPr>
        <w:pStyle w:val="ad"/>
        <w:spacing w:line="360" w:lineRule="auto"/>
        <w:jc w:val="both"/>
        <w:rPr>
          <w:rFonts w:ascii="David" w:hAnsi="David"/>
          <w:sz w:val="26"/>
          <w:szCs w:val="26"/>
          <w:rtl/>
        </w:rPr>
      </w:pPr>
      <w:r>
        <w:rPr>
          <w:rFonts w:ascii="David" w:hAnsi="David"/>
          <w:sz w:val="26"/>
          <w:szCs w:val="26"/>
          <w:rtl/>
        </w:rPr>
        <w:t>מס  רכישה  בסך 12,540 ₪ שולם ביום 15.10.14.</w:t>
      </w:r>
    </w:p>
    <w:p w:rsidR="005075CF" w:rsidRDefault="005075CF" w:rsidP="00B81E92">
      <w:pPr>
        <w:pStyle w:val="ad"/>
        <w:spacing w:line="360" w:lineRule="auto"/>
        <w:jc w:val="both"/>
        <w:rPr>
          <w:rFonts w:ascii="David" w:hAnsi="David"/>
          <w:sz w:val="26"/>
          <w:szCs w:val="26"/>
          <w:rtl/>
        </w:rPr>
      </w:pPr>
      <w:r>
        <w:rPr>
          <w:rFonts w:ascii="David" w:hAnsi="David"/>
          <w:sz w:val="26"/>
          <w:szCs w:val="26"/>
          <w:rtl/>
        </w:rPr>
        <w:t>הצדדים נטלו הלוואה בסך 60,000 ₪, והיטל השבחה בסך 44,300 ₪ שולם בשנת 2016.</w:t>
      </w:r>
    </w:p>
    <w:p w:rsidR="005075CF" w:rsidRDefault="005075CF" w:rsidP="00B81E92">
      <w:pPr>
        <w:spacing w:line="360" w:lineRule="auto"/>
        <w:jc w:val="both"/>
        <w:rPr>
          <w:rFonts w:ascii="David" w:hAnsi="David"/>
          <w:sz w:val="26"/>
          <w:szCs w:val="26"/>
          <w:rtl/>
        </w:rPr>
      </w:pPr>
    </w:p>
    <w:p w:rsidR="005075CF" w:rsidRDefault="005075CF" w:rsidP="00B81E92">
      <w:pPr>
        <w:pStyle w:val="ad"/>
        <w:numPr>
          <w:ilvl w:val="0"/>
          <w:numId w:val="1"/>
        </w:numPr>
        <w:spacing w:before="120" w:after="120" w:line="360" w:lineRule="auto"/>
        <w:jc w:val="both"/>
        <w:rPr>
          <w:rFonts w:ascii="David" w:hAnsi="David"/>
          <w:sz w:val="26"/>
          <w:szCs w:val="26"/>
          <w:rtl/>
        </w:rPr>
      </w:pPr>
      <w:r>
        <w:rPr>
          <w:rFonts w:ascii="David" w:hAnsi="David"/>
          <w:sz w:val="26"/>
          <w:szCs w:val="26"/>
          <w:rtl/>
        </w:rPr>
        <w:t>התובעת הודתה</w:t>
      </w:r>
      <w:r w:rsidR="00A91400">
        <w:rPr>
          <w:rFonts w:ascii="David" w:hAnsi="David" w:hint="cs"/>
          <w:sz w:val="26"/>
          <w:szCs w:val="26"/>
          <w:rtl/>
        </w:rPr>
        <w:t>,</w:t>
      </w:r>
      <w:r>
        <w:rPr>
          <w:rFonts w:ascii="David" w:hAnsi="David"/>
          <w:sz w:val="26"/>
          <w:szCs w:val="26"/>
          <w:rtl/>
        </w:rPr>
        <w:t xml:space="preserve"> כי הכספים ששימשו לרכישת הנכס ולתשלום המיסוי עבורו הוצאו מן החשבון המשותף (עמ' 26 ש' 1-3). לדבריה, שימש החשבון כתחנת מעבר, חלף פתיחת חשבון לצורך קבלת הלוואה לתשלום היטל השבחה (עמ' 26 ש' 11-14). התובעת הבהירה, כי הפקידה את כספי החיסכון בחשבון המשותף מרצונה החופשי, וכי  הכספים נותרו בחשבון מס' חודשים עד ביצוע התשלומים  בגין הנכס (עמ' 27 ש' 27-28).</w:t>
      </w:r>
    </w:p>
    <w:p w:rsidR="005075CF" w:rsidRDefault="005075CF" w:rsidP="00A91400">
      <w:pPr>
        <w:spacing w:before="120" w:after="120" w:line="360" w:lineRule="auto"/>
        <w:ind w:left="720"/>
        <w:jc w:val="both"/>
        <w:rPr>
          <w:rFonts w:ascii="David" w:hAnsi="David"/>
          <w:sz w:val="26"/>
          <w:szCs w:val="26"/>
          <w:rtl/>
        </w:rPr>
      </w:pPr>
      <w:r>
        <w:rPr>
          <w:rFonts w:ascii="David" w:hAnsi="David"/>
          <w:sz w:val="26"/>
          <w:szCs w:val="26"/>
          <w:rtl/>
        </w:rPr>
        <w:lastRenderedPageBreak/>
        <w:t>הנתבע מצדו טען</w:t>
      </w:r>
      <w:r w:rsidR="00A91400">
        <w:rPr>
          <w:rFonts w:ascii="David" w:hAnsi="David" w:hint="cs"/>
          <w:sz w:val="26"/>
          <w:szCs w:val="26"/>
          <w:rtl/>
        </w:rPr>
        <w:t>,</w:t>
      </w:r>
      <w:r>
        <w:rPr>
          <w:rFonts w:ascii="David" w:hAnsi="David"/>
          <w:sz w:val="26"/>
          <w:szCs w:val="26"/>
          <w:rtl/>
        </w:rPr>
        <w:t xml:space="preserve"> כי לאורך נישואיהם קיבלו הצדדים מתנות מהורי שני הצדדים, וכי אלה הפכו למשותפות (סע' 10 לתצהיר הנתבע). הוא הוסיף, כי חלק מכספי החסכון ששימשו לרכישת הנכס, נצברו בתקופת נישואי הצדדים (עמ' 62 ש' 21). בנוסף,  כאשר קיבל </w:t>
      </w:r>
      <w:r w:rsidR="00820E5D">
        <w:rPr>
          <w:rFonts w:ascii="David" w:hAnsi="David" w:hint="cs"/>
          <w:sz w:val="26"/>
          <w:szCs w:val="26"/>
          <w:rtl/>
        </w:rPr>
        <w:t xml:space="preserve">הוא </w:t>
      </w:r>
      <w:r>
        <w:rPr>
          <w:rFonts w:ascii="David" w:hAnsi="David"/>
          <w:sz w:val="26"/>
          <w:szCs w:val="26"/>
          <w:rtl/>
        </w:rPr>
        <w:t>בשנת 2016 פיצויים בגין תאונת דרכים שעבר, הפקיד את כספי הפיצויים בחשבון המשותף.</w:t>
      </w:r>
    </w:p>
    <w:p w:rsidR="005075CF" w:rsidRDefault="005075CF" w:rsidP="00B81E92">
      <w:pPr>
        <w:pStyle w:val="ad"/>
        <w:spacing w:line="360" w:lineRule="auto"/>
        <w:jc w:val="both"/>
        <w:rPr>
          <w:rFonts w:ascii="David" w:hAnsi="David"/>
          <w:sz w:val="26"/>
          <w:szCs w:val="26"/>
        </w:rPr>
      </w:pPr>
    </w:p>
    <w:p w:rsidR="005075CF" w:rsidRDefault="00F6623E" w:rsidP="00B81E92">
      <w:pPr>
        <w:pStyle w:val="ad"/>
        <w:numPr>
          <w:ilvl w:val="0"/>
          <w:numId w:val="1"/>
        </w:numPr>
        <w:spacing w:before="120" w:after="120" w:line="360" w:lineRule="auto"/>
        <w:jc w:val="both"/>
        <w:rPr>
          <w:rFonts w:ascii="David" w:hAnsi="David"/>
          <w:sz w:val="26"/>
          <w:szCs w:val="26"/>
          <w:rtl/>
        </w:rPr>
      </w:pPr>
      <w:r>
        <w:rPr>
          <w:rFonts w:ascii="David" w:hAnsi="David"/>
          <w:sz w:val="26"/>
          <w:szCs w:val="26"/>
          <w:rtl/>
        </w:rPr>
        <w:t>אם התובעת</w:t>
      </w:r>
      <w:r w:rsidR="005075CF">
        <w:rPr>
          <w:rFonts w:ascii="David" w:hAnsi="David"/>
          <w:sz w:val="26"/>
          <w:szCs w:val="26"/>
          <w:rtl/>
        </w:rPr>
        <w:t>, נחקרה  בפני בית המשפט, והודתה כי אף שחוותה שני הליכי גירושין, לא מצאה להציע לתובעת לערוך הסכם ממון ביחס לכספי החיסכון שצברה התובעת (עמ' 38 ש' 29 עד עמ' 39 ש' 4), שכן לדבריה "</w:t>
      </w:r>
      <w:r w:rsidR="005075CF" w:rsidRPr="00820E5D">
        <w:rPr>
          <w:rFonts w:ascii="David" w:hAnsi="David"/>
          <w:bCs/>
          <w:sz w:val="26"/>
          <w:szCs w:val="26"/>
          <w:rtl/>
        </w:rPr>
        <w:t>לא ראיתי בעיה בעניין</w:t>
      </w:r>
      <w:r w:rsidR="005075CF">
        <w:rPr>
          <w:rFonts w:ascii="David" w:hAnsi="David"/>
          <w:sz w:val="26"/>
          <w:szCs w:val="26"/>
          <w:rtl/>
        </w:rPr>
        <w:t>". לטענת האם, הועברו אותם כספי חיסכון לחשבון המשותף "</w:t>
      </w:r>
      <w:r w:rsidR="005075CF">
        <w:rPr>
          <w:rFonts w:ascii="David" w:hAnsi="David"/>
          <w:b/>
          <w:sz w:val="26"/>
          <w:szCs w:val="26"/>
          <w:rtl/>
        </w:rPr>
        <w:t>כתחנת מעבר</w:t>
      </w:r>
      <w:r w:rsidR="005075CF">
        <w:rPr>
          <w:rFonts w:ascii="David" w:hAnsi="David"/>
          <w:sz w:val="26"/>
          <w:szCs w:val="26"/>
          <w:rtl/>
        </w:rPr>
        <w:t>" (עמ' 40 ש' 7-8). לדבריה, סיכמה עם התובעת כי לנתבע לא יהיו זכויות בקרקע, כשאף לשיטתה, לא היה הנתבע צד ל"סיכום" זה (עמ' 44 ש' 16-17).</w:t>
      </w:r>
    </w:p>
    <w:p w:rsidR="005075CF" w:rsidRDefault="005075CF" w:rsidP="00F6623E">
      <w:pPr>
        <w:pStyle w:val="ad"/>
        <w:spacing w:before="120" w:after="120" w:line="360" w:lineRule="auto"/>
        <w:jc w:val="both"/>
        <w:rPr>
          <w:rFonts w:ascii="David" w:hAnsi="David"/>
          <w:sz w:val="26"/>
          <w:szCs w:val="26"/>
        </w:rPr>
      </w:pPr>
      <w:r>
        <w:rPr>
          <w:rFonts w:ascii="David" w:hAnsi="David"/>
          <w:sz w:val="26"/>
          <w:szCs w:val="26"/>
          <w:rtl/>
        </w:rPr>
        <w:t xml:space="preserve">אליבא מר </w:t>
      </w:r>
      <w:r w:rsidR="00F6623E">
        <w:rPr>
          <w:rFonts w:ascii="David" w:hAnsi="David" w:hint="cs"/>
          <w:sz w:val="26"/>
          <w:szCs w:val="26"/>
          <w:rtl/>
        </w:rPr>
        <w:t>____</w:t>
      </w:r>
      <w:r>
        <w:rPr>
          <w:rFonts w:ascii="David" w:hAnsi="David"/>
          <w:sz w:val="26"/>
          <w:szCs w:val="26"/>
          <w:rtl/>
        </w:rPr>
        <w:t>, הסכים הנתבע כי הנכס יהיה לתובעת בלבד, ולא העלה כל טענה כי יש לו זכויו</w:t>
      </w:r>
      <w:r w:rsidR="00F6623E">
        <w:rPr>
          <w:rFonts w:ascii="David" w:hAnsi="David"/>
          <w:sz w:val="26"/>
          <w:szCs w:val="26"/>
          <w:rtl/>
        </w:rPr>
        <w:t xml:space="preserve">ת בנכס (עמ' 20 לתצהירו </w:t>
      </w:r>
      <w:r>
        <w:rPr>
          <w:rFonts w:ascii="David" w:hAnsi="David"/>
          <w:sz w:val="26"/>
          <w:szCs w:val="26"/>
          <w:rtl/>
        </w:rPr>
        <w:t xml:space="preserve"> ועמ' 52 ש' 20 לפרוטוקול).</w:t>
      </w:r>
    </w:p>
    <w:p w:rsidR="005075CF" w:rsidRDefault="005075CF" w:rsidP="00B81E92">
      <w:pPr>
        <w:pStyle w:val="ad"/>
        <w:spacing w:before="120" w:after="120" w:line="360" w:lineRule="auto"/>
        <w:jc w:val="both"/>
        <w:rPr>
          <w:rFonts w:ascii="David" w:hAnsi="David"/>
          <w:sz w:val="26"/>
          <w:szCs w:val="26"/>
          <w:rtl/>
        </w:rPr>
      </w:pPr>
    </w:p>
    <w:p w:rsidR="005075CF" w:rsidRDefault="005075CF" w:rsidP="00F6623E">
      <w:pPr>
        <w:pStyle w:val="ad"/>
        <w:numPr>
          <w:ilvl w:val="0"/>
          <w:numId w:val="1"/>
        </w:numPr>
        <w:spacing w:before="120" w:after="120" w:line="360" w:lineRule="auto"/>
        <w:jc w:val="both"/>
        <w:rPr>
          <w:rFonts w:ascii="David" w:hAnsi="David"/>
          <w:sz w:val="26"/>
          <w:szCs w:val="26"/>
          <w:rtl/>
        </w:rPr>
      </w:pPr>
      <w:r>
        <w:rPr>
          <w:rFonts w:ascii="David" w:hAnsi="David"/>
          <w:sz w:val="26"/>
          <w:szCs w:val="26"/>
          <w:rtl/>
        </w:rPr>
        <w:t xml:space="preserve">אשר להלוואה בסך של 60,000 ₪ שניטלה בחשבון המשותף, ממנה שולם היטל ההשבחה, כאן הציגה התובעת גירסות סותרות. לשיטתה, הושבו הכספים בהמשך בידי אמה ובן זוגה (סע' 50 לתצהיר התובעת בתלה"מ 31387-01-20), בעוד שאם התובעת ובן זוגה טענו, כי ההלוואה ניטלה חלף תשלום לאם ולבן הזוג על כספים שהעבירו לצדדים טרם נטילת ההלוואה </w:t>
      </w:r>
      <w:r>
        <w:rPr>
          <w:rFonts w:ascii="David" w:hAnsi="David"/>
          <w:sz w:val="26"/>
          <w:szCs w:val="26"/>
          <w:rtl/>
        </w:rPr>
        <w:lastRenderedPageBreak/>
        <w:t xml:space="preserve">(סע' 22 לתצהיר </w:t>
      </w:r>
      <w:r w:rsidR="00F6623E">
        <w:rPr>
          <w:rFonts w:ascii="David" w:hAnsi="David" w:hint="cs"/>
          <w:sz w:val="26"/>
          <w:szCs w:val="26"/>
          <w:rtl/>
        </w:rPr>
        <w:t>בן הזוג</w:t>
      </w:r>
      <w:r>
        <w:rPr>
          <w:rFonts w:ascii="David" w:hAnsi="David"/>
          <w:sz w:val="26"/>
          <w:szCs w:val="26"/>
          <w:rtl/>
        </w:rPr>
        <w:t xml:space="preserve"> וסע' 30 </w:t>
      </w:r>
      <w:r w:rsidR="00F6623E">
        <w:rPr>
          <w:rFonts w:ascii="David" w:hAnsi="David" w:hint="cs"/>
          <w:sz w:val="26"/>
          <w:szCs w:val="26"/>
          <w:rtl/>
        </w:rPr>
        <w:t>לתצהיר האם)</w:t>
      </w:r>
      <w:r>
        <w:rPr>
          <w:rFonts w:ascii="David" w:hAnsi="David"/>
          <w:sz w:val="26"/>
          <w:szCs w:val="26"/>
          <w:rtl/>
        </w:rPr>
        <w:t xml:space="preserve"> </w:t>
      </w:r>
      <w:r w:rsidR="00D118F5">
        <w:rPr>
          <w:rFonts w:ascii="David" w:hAnsi="David" w:hint="cs"/>
          <w:sz w:val="26"/>
          <w:szCs w:val="26"/>
          <w:rtl/>
        </w:rPr>
        <w:t xml:space="preserve">זאת, לאחר שמצאנו כי לא הוכח מתן הלוואה לצדדים על ידם, </w:t>
      </w:r>
      <w:r>
        <w:rPr>
          <w:rFonts w:ascii="David" w:hAnsi="David"/>
          <w:sz w:val="26"/>
          <w:szCs w:val="26"/>
          <w:rtl/>
        </w:rPr>
        <w:t>כך שיש לדחות את הגירסאות שהציגה התובעת בעניין זה.</w:t>
      </w:r>
    </w:p>
    <w:p w:rsidR="005075CF" w:rsidRDefault="005075CF" w:rsidP="00B81E92">
      <w:pPr>
        <w:pStyle w:val="ad"/>
        <w:spacing w:before="120" w:after="120" w:line="360" w:lineRule="auto"/>
        <w:jc w:val="both"/>
        <w:rPr>
          <w:rFonts w:ascii="David" w:hAnsi="David"/>
          <w:sz w:val="26"/>
          <w:szCs w:val="26"/>
        </w:rPr>
      </w:pPr>
    </w:p>
    <w:p w:rsidR="005075CF" w:rsidRDefault="005075CF" w:rsidP="00B81E92">
      <w:pPr>
        <w:pStyle w:val="ad"/>
        <w:numPr>
          <w:ilvl w:val="0"/>
          <w:numId w:val="1"/>
        </w:numPr>
        <w:spacing w:before="120" w:after="120" w:line="360" w:lineRule="auto"/>
        <w:jc w:val="both"/>
        <w:rPr>
          <w:rFonts w:ascii="David" w:hAnsi="David"/>
          <w:sz w:val="26"/>
          <w:szCs w:val="26"/>
        </w:rPr>
      </w:pPr>
      <w:r>
        <w:rPr>
          <w:rFonts w:ascii="David" w:hAnsi="David"/>
          <w:sz w:val="26"/>
          <w:szCs w:val="26"/>
          <w:rtl/>
        </w:rPr>
        <w:t xml:space="preserve">התובעת לא הוכיחה כלל </w:t>
      </w:r>
      <w:r w:rsidR="00D118F5">
        <w:rPr>
          <w:rFonts w:ascii="David" w:hAnsi="David" w:hint="cs"/>
          <w:sz w:val="26"/>
          <w:szCs w:val="26"/>
          <w:rtl/>
        </w:rPr>
        <w:t xml:space="preserve">וכלל </w:t>
      </w:r>
      <w:r>
        <w:rPr>
          <w:rFonts w:ascii="David" w:hAnsi="David"/>
          <w:sz w:val="26"/>
          <w:szCs w:val="26"/>
          <w:rtl/>
        </w:rPr>
        <w:t>כי הוסכם בינה לבין הנתבע כי הנכס יהיה לה בלבד, והצדדים אף לא ערכו הסכם בעניין הנכס, כפי דרישת חוק יחסי ממון.</w:t>
      </w:r>
    </w:p>
    <w:p w:rsidR="005075CF" w:rsidRDefault="005075CF" w:rsidP="00B81E92">
      <w:pPr>
        <w:pStyle w:val="ad"/>
        <w:spacing w:line="360" w:lineRule="auto"/>
        <w:jc w:val="both"/>
        <w:rPr>
          <w:rFonts w:ascii="David" w:hAnsi="David"/>
          <w:sz w:val="26"/>
          <w:szCs w:val="26"/>
        </w:rPr>
      </w:pPr>
      <w:r>
        <w:rPr>
          <w:rFonts w:ascii="David" w:hAnsi="David"/>
          <w:sz w:val="26"/>
          <w:szCs w:val="26"/>
          <w:rtl/>
        </w:rPr>
        <w:t>כספי התובעת, שמקורם בתכנית החיסכון ובקופות הגמל, הועברו לחשבון במשותף, ועם העברתם הפכו למשותפים, ללא תלות בשאלה מהו פרק הזמן שחלף עד התשלום בגין הנכס.</w:t>
      </w:r>
    </w:p>
    <w:p w:rsidR="005075CF" w:rsidRDefault="005075CF" w:rsidP="00B81E92">
      <w:pPr>
        <w:pStyle w:val="ad"/>
        <w:spacing w:line="360" w:lineRule="auto"/>
        <w:jc w:val="both"/>
        <w:rPr>
          <w:rFonts w:ascii="David" w:hAnsi="David"/>
          <w:sz w:val="26"/>
          <w:szCs w:val="26"/>
          <w:rtl/>
        </w:rPr>
      </w:pPr>
      <w:r>
        <w:rPr>
          <w:rFonts w:ascii="David" w:hAnsi="David"/>
          <w:sz w:val="26"/>
          <w:szCs w:val="26"/>
          <w:rtl/>
        </w:rPr>
        <w:t>התנהלות זו, בה הועברו כספים השייכים לצדדים לחשבון המשותף, תוך שהם משמשים את שני הצדדים היתה הדדית ולא חד צדדית,  כפי שלמדנו מהעברת כספי הפיצויים שקיבל הנתבע לאותו חשבון משותף.</w:t>
      </w:r>
    </w:p>
    <w:p w:rsidR="005075CF" w:rsidRDefault="005075CF" w:rsidP="00D118F5">
      <w:pPr>
        <w:pStyle w:val="ad"/>
        <w:spacing w:line="360" w:lineRule="auto"/>
        <w:jc w:val="both"/>
        <w:rPr>
          <w:rFonts w:ascii="David" w:hAnsi="David"/>
          <w:sz w:val="26"/>
          <w:szCs w:val="26"/>
          <w:rtl/>
        </w:rPr>
      </w:pPr>
      <w:r>
        <w:rPr>
          <w:rFonts w:ascii="David" w:hAnsi="David"/>
          <w:sz w:val="26"/>
          <w:szCs w:val="26"/>
          <w:rtl/>
        </w:rPr>
        <w:t>כספים שהעבירו אם התובעת ובן זוגה לחשבון, בין אם בתקופה בה שולמו תשלומים לרכישת הנכס, לפיה או לאחריה, מוחזקים ככספים שניתנו במתנה לשני הצדדים, כך ש</w:t>
      </w:r>
      <w:r w:rsidR="00D118F5">
        <w:rPr>
          <w:rFonts w:ascii="David" w:hAnsi="David" w:hint="cs"/>
          <w:sz w:val="26"/>
          <w:szCs w:val="26"/>
          <w:rtl/>
        </w:rPr>
        <w:t xml:space="preserve">עת </w:t>
      </w:r>
      <w:r>
        <w:rPr>
          <w:rFonts w:ascii="David" w:hAnsi="David"/>
          <w:sz w:val="26"/>
          <w:szCs w:val="26"/>
          <w:rtl/>
        </w:rPr>
        <w:t xml:space="preserve">נרכש </w:t>
      </w:r>
      <w:r w:rsidR="00D118F5">
        <w:rPr>
          <w:rFonts w:ascii="David" w:hAnsi="David" w:hint="cs"/>
          <w:sz w:val="26"/>
          <w:szCs w:val="26"/>
          <w:rtl/>
        </w:rPr>
        <w:t xml:space="preserve">הנכס </w:t>
      </w:r>
      <w:r>
        <w:rPr>
          <w:rFonts w:ascii="David" w:hAnsi="David"/>
          <w:sz w:val="26"/>
          <w:szCs w:val="26"/>
          <w:rtl/>
        </w:rPr>
        <w:t>בתקופת החיים המשותפים, מכספים משותפים ובאמצעות הלוואה אשר הצדדים נשאו במשותף בהשבתה, נכס משותף הוא, ללא תלות ברישום.</w:t>
      </w:r>
    </w:p>
    <w:p w:rsidR="005075CF" w:rsidRDefault="005075CF" w:rsidP="00B81E92">
      <w:pPr>
        <w:pStyle w:val="ad"/>
        <w:spacing w:line="360" w:lineRule="auto"/>
        <w:jc w:val="both"/>
        <w:rPr>
          <w:rFonts w:ascii="David" w:hAnsi="David"/>
          <w:sz w:val="26"/>
          <w:szCs w:val="26"/>
          <w:rtl/>
        </w:rPr>
      </w:pPr>
    </w:p>
    <w:p w:rsidR="005075CF" w:rsidRPr="00D118F5" w:rsidRDefault="005075CF" w:rsidP="00D118F5">
      <w:pPr>
        <w:spacing w:line="360" w:lineRule="auto"/>
        <w:ind w:firstLine="360"/>
        <w:jc w:val="both"/>
        <w:rPr>
          <w:rFonts w:ascii="David" w:hAnsi="David"/>
          <w:bCs/>
          <w:sz w:val="26"/>
          <w:szCs w:val="26"/>
          <w:u w:val="single"/>
          <w:rtl/>
        </w:rPr>
      </w:pPr>
      <w:r w:rsidRPr="00D118F5">
        <w:rPr>
          <w:rFonts w:ascii="David" w:hAnsi="David"/>
          <w:bCs/>
          <w:sz w:val="26"/>
          <w:szCs w:val="26"/>
          <w:u w:val="single"/>
          <w:rtl/>
        </w:rPr>
        <w:t>איזון משאבים</w:t>
      </w:r>
    </w:p>
    <w:p w:rsidR="005075CF" w:rsidRDefault="005075CF" w:rsidP="00B81E92">
      <w:pPr>
        <w:pStyle w:val="ad"/>
        <w:numPr>
          <w:ilvl w:val="0"/>
          <w:numId w:val="1"/>
        </w:numPr>
        <w:spacing w:before="120" w:after="120" w:line="360" w:lineRule="auto"/>
        <w:jc w:val="both"/>
        <w:rPr>
          <w:rFonts w:ascii="David" w:hAnsi="David"/>
          <w:sz w:val="26"/>
          <w:szCs w:val="26"/>
          <w:rtl/>
        </w:rPr>
      </w:pPr>
      <w:r>
        <w:rPr>
          <w:rFonts w:ascii="David" w:hAnsi="David"/>
          <w:sz w:val="26"/>
          <w:szCs w:val="26"/>
          <w:rtl/>
        </w:rPr>
        <w:lastRenderedPageBreak/>
        <w:t xml:space="preserve">מכל הנתונים שהונחו </w:t>
      </w:r>
      <w:r w:rsidR="00D118F5">
        <w:rPr>
          <w:rFonts w:ascii="David" w:hAnsi="David" w:hint="cs"/>
          <w:sz w:val="26"/>
          <w:szCs w:val="26"/>
          <w:rtl/>
        </w:rPr>
        <w:t>ב</w:t>
      </w:r>
      <w:r>
        <w:rPr>
          <w:rFonts w:ascii="David" w:hAnsi="David"/>
          <w:sz w:val="26"/>
          <w:szCs w:val="26"/>
          <w:rtl/>
        </w:rPr>
        <w:t>פני בית המשפט עולה, כי יש לאזן את כלל הרכוש, הכספים והחובות שצברו הצדדים בתקופת השיתוף, בלא להחריג נכס, זכות, חוב או הלוואה.</w:t>
      </w:r>
      <w:r w:rsidR="00D118F5">
        <w:rPr>
          <w:rFonts w:ascii="David" w:hAnsi="David" w:hint="cs"/>
          <w:sz w:val="26"/>
          <w:szCs w:val="26"/>
          <w:rtl/>
        </w:rPr>
        <w:t xml:space="preserve"> הדברים יפים ביחס לרכב כפי שהם תקפים ביחס לנכס המקרקעין.</w:t>
      </w:r>
    </w:p>
    <w:p w:rsidR="005075CF" w:rsidRDefault="005075CF" w:rsidP="00D118F5">
      <w:pPr>
        <w:pStyle w:val="ad"/>
        <w:spacing w:before="120" w:after="120" w:line="360" w:lineRule="auto"/>
        <w:jc w:val="both"/>
        <w:rPr>
          <w:rFonts w:ascii="David" w:hAnsi="David"/>
          <w:sz w:val="26"/>
          <w:szCs w:val="26"/>
        </w:rPr>
      </w:pPr>
      <w:r>
        <w:rPr>
          <w:rFonts w:ascii="David" w:hAnsi="David"/>
          <w:sz w:val="26"/>
          <w:szCs w:val="26"/>
          <w:rtl/>
        </w:rPr>
        <w:t>התובעת לא הוכיחה כי הנתבע צבר מוניטין, שעה שהיא עצמה טענה כי נהג להחליף מקומות עבודה באופן תדיר, ו</w:t>
      </w:r>
      <w:r w:rsidR="00D118F5">
        <w:rPr>
          <w:rFonts w:ascii="David" w:hAnsi="David" w:hint="cs"/>
          <w:sz w:val="26"/>
          <w:szCs w:val="26"/>
          <w:rtl/>
        </w:rPr>
        <w:t xml:space="preserve">בשים לב לכך </w:t>
      </w:r>
      <w:r>
        <w:rPr>
          <w:rFonts w:ascii="David" w:hAnsi="David"/>
          <w:sz w:val="26"/>
          <w:szCs w:val="26"/>
          <w:rtl/>
        </w:rPr>
        <w:t>שהוא אינו</w:t>
      </w:r>
      <w:r w:rsidR="00D118F5">
        <w:rPr>
          <w:rFonts w:ascii="David" w:hAnsi="David" w:hint="cs"/>
          <w:sz w:val="26"/>
          <w:szCs w:val="26"/>
          <w:rtl/>
        </w:rPr>
        <w:t xml:space="preserve"> </w:t>
      </w:r>
      <w:r>
        <w:rPr>
          <w:rFonts w:ascii="David" w:hAnsi="David"/>
          <w:sz w:val="26"/>
          <w:szCs w:val="26"/>
          <w:rtl/>
        </w:rPr>
        <w:t xml:space="preserve">עובד עוד כנהג מונית. באותה נשימה, גם לא הוכיחה התובעת קיומן של נסיבות </w:t>
      </w:r>
      <w:r w:rsidR="00D118F5">
        <w:rPr>
          <w:rFonts w:ascii="David" w:hAnsi="David" w:hint="cs"/>
          <w:sz w:val="26"/>
          <w:szCs w:val="26"/>
          <w:rtl/>
        </w:rPr>
        <w:t xml:space="preserve">המצדיקות </w:t>
      </w:r>
      <w:r>
        <w:rPr>
          <w:rFonts w:ascii="David" w:hAnsi="David"/>
          <w:sz w:val="26"/>
          <w:szCs w:val="26"/>
          <w:rtl/>
        </w:rPr>
        <w:t>הפעלת סע' 8(2) לחוק יחסי ממון</w:t>
      </w:r>
      <w:r w:rsidR="00D118F5">
        <w:rPr>
          <w:rFonts w:ascii="David" w:hAnsi="David" w:hint="cs"/>
          <w:sz w:val="26"/>
          <w:szCs w:val="26"/>
          <w:rtl/>
        </w:rPr>
        <w:t xml:space="preserve"> בעת עריכת האיזון</w:t>
      </w:r>
      <w:r>
        <w:rPr>
          <w:rFonts w:ascii="David" w:hAnsi="David"/>
          <w:sz w:val="26"/>
          <w:szCs w:val="26"/>
          <w:rtl/>
        </w:rPr>
        <w:t>.</w:t>
      </w:r>
    </w:p>
    <w:p w:rsidR="005075CF" w:rsidRPr="00D118F5" w:rsidRDefault="005075CF" w:rsidP="00B81E92">
      <w:pPr>
        <w:spacing w:before="120" w:after="120" w:line="360" w:lineRule="auto"/>
        <w:jc w:val="both"/>
        <w:rPr>
          <w:rFonts w:ascii="David" w:hAnsi="David"/>
          <w:sz w:val="26"/>
          <w:szCs w:val="26"/>
          <w:rtl/>
        </w:rPr>
      </w:pPr>
    </w:p>
    <w:p w:rsidR="005075CF" w:rsidRDefault="005075CF" w:rsidP="00F6623E">
      <w:pPr>
        <w:pStyle w:val="ad"/>
        <w:numPr>
          <w:ilvl w:val="0"/>
          <w:numId w:val="1"/>
        </w:numPr>
        <w:spacing w:before="120" w:after="120" w:line="360" w:lineRule="auto"/>
        <w:jc w:val="both"/>
        <w:rPr>
          <w:rFonts w:ascii="David" w:hAnsi="David"/>
          <w:sz w:val="26"/>
          <w:szCs w:val="26"/>
          <w:rtl/>
        </w:rPr>
      </w:pPr>
      <w:r>
        <w:rPr>
          <w:rFonts w:ascii="David" w:hAnsi="David"/>
          <w:sz w:val="26"/>
          <w:szCs w:val="26"/>
          <w:rtl/>
        </w:rPr>
        <w:t xml:space="preserve">מכל האמור לעיל, הריני מורה על מינוי רו"ח רונן קדר טל': 03-5752665 לצורך מתן חוות דעת בדבר האיזון הרכושי בין הצדדים, ביחס לזכויות ולחובות שצברו בתקופה שמיום </w:t>
      </w:r>
      <w:r>
        <w:rPr>
          <w:sz w:val="26"/>
          <w:szCs w:val="26"/>
          <w:rtl/>
        </w:rPr>
        <w:t xml:space="preserve"> </w:t>
      </w:r>
      <w:r w:rsidR="00F6623E">
        <w:rPr>
          <w:rFonts w:hint="cs"/>
          <w:sz w:val="26"/>
          <w:szCs w:val="26"/>
          <w:rtl/>
        </w:rPr>
        <w:t>.........</w:t>
      </w:r>
      <w:r w:rsidR="00F6623E">
        <w:rPr>
          <w:sz w:val="26"/>
          <w:szCs w:val="26"/>
          <w:rtl/>
        </w:rPr>
        <w:t xml:space="preserve"> ועד ל</w:t>
      </w:r>
      <w:r w:rsidR="00F6623E">
        <w:rPr>
          <w:rFonts w:hint="cs"/>
          <w:sz w:val="26"/>
          <w:szCs w:val="26"/>
          <w:rtl/>
        </w:rPr>
        <w:t xml:space="preserve">יום </w:t>
      </w:r>
      <w:r w:rsidR="00F6623E">
        <w:rPr>
          <w:rFonts w:ascii="David" w:hAnsi="David" w:hint="cs"/>
          <w:sz w:val="26"/>
          <w:szCs w:val="26"/>
          <w:rtl/>
        </w:rPr>
        <w:t>......</w:t>
      </w:r>
      <w:r>
        <w:rPr>
          <w:rFonts w:ascii="David" w:hAnsi="David"/>
          <w:sz w:val="26"/>
          <w:szCs w:val="26"/>
          <w:rtl/>
        </w:rPr>
        <w:t>.</w:t>
      </w:r>
    </w:p>
    <w:p w:rsidR="00D118F5" w:rsidRDefault="005075CF" w:rsidP="00D118F5">
      <w:pPr>
        <w:pStyle w:val="ad"/>
        <w:spacing w:before="120" w:after="120" w:line="360" w:lineRule="auto"/>
        <w:jc w:val="both"/>
        <w:rPr>
          <w:rFonts w:ascii="David" w:hAnsi="David"/>
          <w:sz w:val="26"/>
          <w:szCs w:val="26"/>
          <w:rtl/>
        </w:rPr>
      </w:pPr>
      <w:r>
        <w:rPr>
          <w:rFonts w:ascii="David" w:hAnsi="David"/>
          <w:sz w:val="26"/>
          <w:szCs w:val="26"/>
          <w:rtl/>
        </w:rPr>
        <w:t>הצדדים יישאו בחלקים שווים בשכר טרחתו של המומחה, וחוות הדעת תוגש בתוך 60 יום.</w:t>
      </w:r>
      <w:r w:rsidR="00D118F5">
        <w:rPr>
          <w:rFonts w:ascii="David" w:hAnsi="David" w:hint="cs"/>
          <w:sz w:val="26"/>
          <w:szCs w:val="26"/>
          <w:rtl/>
        </w:rPr>
        <w:t xml:space="preserve"> </w:t>
      </w:r>
    </w:p>
    <w:p w:rsidR="005075CF" w:rsidRDefault="005075CF" w:rsidP="00F6623E">
      <w:pPr>
        <w:pStyle w:val="ad"/>
        <w:spacing w:before="120" w:after="120" w:line="360" w:lineRule="auto"/>
        <w:jc w:val="both"/>
        <w:rPr>
          <w:rFonts w:ascii="David" w:hAnsi="David"/>
          <w:sz w:val="26"/>
          <w:szCs w:val="26"/>
        </w:rPr>
      </w:pPr>
      <w:r>
        <w:rPr>
          <w:rFonts w:ascii="David" w:hAnsi="David"/>
          <w:sz w:val="26"/>
          <w:szCs w:val="26"/>
          <w:rtl/>
        </w:rPr>
        <w:t>עוד נקבע בזאת</w:t>
      </w:r>
      <w:r w:rsidR="007F63A7">
        <w:rPr>
          <w:rFonts w:ascii="David" w:hAnsi="David" w:hint="cs"/>
          <w:sz w:val="26"/>
          <w:szCs w:val="26"/>
          <w:rtl/>
        </w:rPr>
        <w:t>,</w:t>
      </w:r>
      <w:r>
        <w:rPr>
          <w:rFonts w:ascii="David" w:hAnsi="David"/>
          <w:sz w:val="26"/>
          <w:szCs w:val="26"/>
          <w:rtl/>
        </w:rPr>
        <w:t xml:space="preserve"> כי הנכס ב</w:t>
      </w:r>
      <w:r w:rsidR="00F6623E">
        <w:rPr>
          <w:rFonts w:ascii="David" w:hAnsi="David" w:hint="cs"/>
          <w:sz w:val="26"/>
          <w:szCs w:val="26"/>
          <w:rtl/>
        </w:rPr>
        <w:t>_____</w:t>
      </w:r>
      <w:r>
        <w:rPr>
          <w:rFonts w:ascii="David" w:hAnsi="David"/>
          <w:sz w:val="26"/>
          <w:szCs w:val="26"/>
          <w:rtl/>
        </w:rPr>
        <w:t xml:space="preserve"> </w:t>
      </w:r>
      <w:r w:rsidR="00D118F5">
        <w:rPr>
          <w:rFonts w:ascii="David" w:hAnsi="David" w:hint="cs"/>
          <w:sz w:val="26"/>
          <w:szCs w:val="26"/>
          <w:rtl/>
        </w:rPr>
        <w:t xml:space="preserve">והרכב </w:t>
      </w:r>
      <w:r w:rsidR="00D118F5">
        <w:rPr>
          <w:rFonts w:ascii="David" w:hAnsi="David"/>
          <w:sz w:val="26"/>
          <w:szCs w:val="26"/>
          <w:rtl/>
        </w:rPr>
        <w:t>משות</w:t>
      </w:r>
      <w:r w:rsidR="003E7C74">
        <w:rPr>
          <w:rFonts w:ascii="David" w:hAnsi="David" w:hint="cs"/>
          <w:sz w:val="26"/>
          <w:szCs w:val="26"/>
          <w:rtl/>
        </w:rPr>
        <w:t xml:space="preserve">פים </w:t>
      </w:r>
      <w:r>
        <w:rPr>
          <w:rFonts w:ascii="David" w:hAnsi="David"/>
          <w:sz w:val="26"/>
          <w:szCs w:val="26"/>
          <w:rtl/>
        </w:rPr>
        <w:t xml:space="preserve"> לשני הצדדים.</w:t>
      </w:r>
    </w:p>
    <w:p w:rsidR="005075CF" w:rsidRPr="007F63A7" w:rsidRDefault="005075CF" w:rsidP="00B81E92">
      <w:pPr>
        <w:spacing w:before="120" w:after="120" w:line="360" w:lineRule="auto"/>
        <w:jc w:val="both"/>
        <w:rPr>
          <w:rFonts w:ascii="David" w:hAnsi="David"/>
          <w:sz w:val="26"/>
          <w:szCs w:val="26"/>
          <w:rtl/>
        </w:rPr>
      </w:pPr>
    </w:p>
    <w:p w:rsidR="005075CF" w:rsidRDefault="005075CF" w:rsidP="00B81E92">
      <w:pPr>
        <w:pStyle w:val="ad"/>
        <w:numPr>
          <w:ilvl w:val="0"/>
          <w:numId w:val="1"/>
        </w:numPr>
        <w:spacing w:before="120" w:after="120" w:line="360" w:lineRule="auto"/>
        <w:jc w:val="both"/>
        <w:rPr>
          <w:rFonts w:ascii="David" w:hAnsi="David"/>
          <w:sz w:val="26"/>
          <w:szCs w:val="26"/>
          <w:rtl/>
        </w:rPr>
      </w:pPr>
      <w:r>
        <w:rPr>
          <w:rFonts w:ascii="David" w:hAnsi="David"/>
          <w:sz w:val="26"/>
          <w:szCs w:val="26"/>
          <w:rtl/>
        </w:rPr>
        <w:t>לאחר ששקלתי את הוצאות שני ההליכים הרכושיים, לרבות קיום 3 ישיבות קדם משפט, 2 דיוני הוכחות ודיון לשמיעת סיכומים בעל פה, ואת עשרות ההחלטות שניתנו בהליכים אלה, ולנוכח התוצאה בפסק הדין, החלטתי לחייב את התובעת לשלם לנתבע 30,000 ₪.</w:t>
      </w:r>
    </w:p>
    <w:p w:rsidR="005075CF" w:rsidRDefault="005075CF" w:rsidP="00B81E92">
      <w:pPr>
        <w:spacing w:before="120" w:after="120" w:line="360" w:lineRule="auto"/>
        <w:ind w:left="360"/>
        <w:jc w:val="both"/>
        <w:rPr>
          <w:rFonts w:ascii="David" w:hAnsi="David"/>
          <w:sz w:val="26"/>
          <w:szCs w:val="26"/>
        </w:rPr>
      </w:pPr>
    </w:p>
    <w:p w:rsidR="005075CF" w:rsidRDefault="005075CF" w:rsidP="00B81E92">
      <w:pPr>
        <w:pStyle w:val="ad"/>
        <w:numPr>
          <w:ilvl w:val="0"/>
          <w:numId w:val="1"/>
        </w:numPr>
        <w:spacing w:before="120" w:after="120" w:line="360" w:lineRule="auto"/>
        <w:jc w:val="both"/>
        <w:rPr>
          <w:rFonts w:ascii="David" w:hAnsi="David"/>
          <w:sz w:val="26"/>
          <w:szCs w:val="26"/>
          <w:rtl/>
        </w:rPr>
      </w:pPr>
      <w:r>
        <w:rPr>
          <w:rFonts w:ascii="David" w:hAnsi="David"/>
          <w:sz w:val="26"/>
          <w:szCs w:val="26"/>
          <w:rtl/>
        </w:rPr>
        <w:t>המזכירות תמציא פסק הדין לצדדים ותסגור את 3 התיקים.</w:t>
      </w:r>
    </w:p>
    <w:p w:rsidR="005075CF" w:rsidRDefault="005075CF" w:rsidP="00B81E92">
      <w:pPr>
        <w:pStyle w:val="ad"/>
        <w:spacing w:before="120" w:after="120" w:line="360" w:lineRule="auto"/>
        <w:jc w:val="both"/>
        <w:rPr>
          <w:rFonts w:ascii="David" w:hAnsi="David"/>
          <w:sz w:val="26"/>
          <w:szCs w:val="26"/>
          <w:rtl/>
        </w:rPr>
      </w:pPr>
    </w:p>
    <w:p w:rsidR="005075CF" w:rsidRDefault="005075CF" w:rsidP="00B81E92">
      <w:pPr>
        <w:pStyle w:val="10"/>
        <w:spacing w:line="360" w:lineRule="auto"/>
        <w:ind w:right="1134"/>
        <w:jc w:val="both"/>
        <w:rPr>
          <w:rFonts w:ascii="David" w:hAnsi="David"/>
          <w:b/>
          <w:noProof w:val="0"/>
          <w:sz w:val="26"/>
          <w:szCs w:val="26"/>
          <w:rtl/>
        </w:rPr>
      </w:pPr>
    </w:p>
    <w:p w:rsidR="005075CF" w:rsidRDefault="005075CF" w:rsidP="00B81E92">
      <w:pPr>
        <w:spacing w:before="240" w:after="240" w:line="360" w:lineRule="auto"/>
        <w:ind w:left="1080"/>
        <w:jc w:val="both"/>
        <w:rPr>
          <w:rFonts w:ascii="David" w:hAnsi="David"/>
          <w:sz w:val="26"/>
          <w:szCs w:val="26"/>
          <w:rtl/>
        </w:rPr>
      </w:pPr>
    </w:p>
    <w:p w:rsidR="005075CF" w:rsidRDefault="005075CF" w:rsidP="00B81E92">
      <w:pPr>
        <w:pStyle w:val="ad"/>
        <w:spacing w:line="360" w:lineRule="auto"/>
        <w:ind w:left="1080"/>
        <w:jc w:val="both"/>
        <w:rPr>
          <w:sz w:val="26"/>
          <w:szCs w:val="26"/>
        </w:rPr>
      </w:pPr>
    </w:p>
    <w:p w:rsidR="00694556" w:rsidRDefault="00005C8B" w:rsidP="00B81E9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י"ז סיוון תשפ"ב</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16 יוני 2022</w:t>
          </w:r>
        </w:sdtContent>
      </w:sdt>
      <w:r>
        <w:rPr>
          <w:rFonts w:ascii="Arial" w:hAnsi="Arial"/>
          <w:noProof w:val="0"/>
          <w:rtl/>
        </w:rPr>
        <w:t>, בהעדר הצדדים.</w:t>
      </w:r>
    </w:p>
    <w:p w:rsidR="005B0F49" w:rsidRDefault="005B0F49" w:rsidP="00B81E92">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BF6EA5" w:rsidP="00B81E92">
      <w:pPr>
        <w:spacing w:line="360" w:lineRule="auto"/>
        <w:ind w:left="3600" w:firstLine="720"/>
        <w:jc w:val="both"/>
      </w:pPr>
      <w:sdt>
        <w:sdtPr>
          <w:rPr>
            <w:rtl/>
          </w:rPr>
          <w:alias w:val="MergeField"/>
          <w:tag w:val="1237"/>
          <w:id w:val="341507252"/>
        </w:sdtPr>
        <w:sdtEndPr/>
        <w:sdtContent>
          <w:r w:rsidR="00F6623E">
            <w:drawing>
              <wp:inline distT="0" distB="0" distL="0" distR="0" wp14:editId="50D07946">
                <wp:extent cx="1514475" cy="1600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5" cstate="print">
                          <a:extLst/>
                        </a:blip>
                        <a:stretch>
                          <a:fillRect/>
                        </a:stretch>
                      </pic:blipFill>
                      <pic:spPr>
                        <a:xfrm>
                          <a:off x="0" y="0"/>
                          <a:ext cx="1514475" cy="1600200"/>
                        </a:xfrm>
                        <a:prstGeom prst="rect">
                          <a:avLst/>
                        </a:prstGeom>
                      </pic:spPr>
                    </pic:pic>
                  </a:graphicData>
                </a:graphic>
              </wp:inline>
            </w:drawing>
          </w:r>
        </w:sdtContent>
      </w:sdt>
    </w:p>
    <w:p w:rsidR="00694556" w:rsidRDefault="00694556" w:rsidP="00B81E92">
      <w:pPr>
        <w:spacing w:line="360" w:lineRule="auto"/>
        <w:ind w:left="3600" w:firstLine="720"/>
        <w:jc w:val="both"/>
        <w:rPr>
          <w:rFonts w:ascii="Arial" w:hAnsi="Arial"/>
          <w:noProof w:val="0"/>
          <w:rtl/>
        </w:rPr>
      </w:pPr>
    </w:p>
    <w:p w:rsidR="00694556" w:rsidRDefault="00694556" w:rsidP="00B81E92">
      <w:pPr>
        <w:spacing w:line="360" w:lineRule="auto"/>
        <w:jc w:val="both"/>
        <w:rPr>
          <w:rFonts w:ascii="Arial" w:hAnsi="Arial"/>
          <w:noProof w:val="0"/>
          <w:rtl/>
        </w:rPr>
      </w:pPr>
    </w:p>
    <w:p w:rsidR="00694556" w:rsidRDefault="00694556" w:rsidP="00B81E92">
      <w:pPr>
        <w:spacing w:line="360" w:lineRule="auto"/>
        <w:jc w:val="both"/>
        <w:rPr>
          <w:rFonts w:ascii="Arial" w:hAnsi="Arial"/>
          <w:noProof w:val="0"/>
          <w:rtl/>
        </w:rPr>
      </w:pPr>
    </w:p>
    <w:p w:rsidR="00B81E92" w:rsidRDefault="00B81E92">
      <w:pPr>
        <w:spacing w:line="360" w:lineRule="auto"/>
        <w:jc w:val="both"/>
        <w:rPr>
          <w:rFonts w:ascii="Arial" w:hAnsi="Arial"/>
          <w:noProof w:val="0"/>
        </w:rPr>
      </w:pPr>
    </w:p>
    <w:sectPr w:rsidR="00B81E92" w:rsidSect="00903896">
      <w:headerReference w:type="default" r:id="rId16"/>
      <w:footerReference w:type="default" r:id="rId17"/>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6EA5" w:rsidRDefault="00BF6EA5">
      <w:r>
        <w:separator/>
      </w:r>
    </w:p>
  </w:endnote>
  <w:endnote w:type="continuationSeparator" w:id="0">
    <w:p w:rsidR="00BF6EA5" w:rsidRDefault="00BF6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768C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768CE">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6EA5" w:rsidRDefault="00BF6EA5">
      <w:r>
        <w:separator/>
      </w:r>
    </w:p>
  </w:footnote>
  <w:footnote w:type="continuationSeparator" w:id="0">
    <w:p w:rsidR="00BF6EA5" w:rsidRDefault="00BF6E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BF6EA5" w:rsidP="00F6623E">
          <w:pPr>
            <w:rPr>
              <w:b/>
              <w:bCs/>
              <w:noProof w:val="0"/>
              <w:sz w:val="26"/>
              <w:szCs w:val="26"/>
              <w:rtl/>
            </w:rPr>
          </w:pPr>
          <w:sdt>
            <w:sdtPr>
              <w:rPr>
                <w:b/>
                <w:bCs/>
                <w:noProof w:val="0"/>
                <w:sz w:val="26"/>
                <w:szCs w:val="26"/>
                <w:rtl/>
              </w:rPr>
              <w:alias w:val="1170"/>
              <w:tag w:val="1170"/>
              <w:id w:val="299038016"/>
              <w:text w:multiLine="1"/>
            </w:sdtPr>
            <w:sdtEndPr/>
            <w:sdtContent>
              <w:r w:rsidR="0027277D">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27277D">
                <w:rPr>
                  <w:b/>
                  <w:bCs/>
                  <w:noProof w:val="0"/>
                  <w:sz w:val="26"/>
                  <w:szCs w:val="26"/>
                  <w:rtl/>
                </w:rPr>
                <w:t>50246-10-19</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F6623E">
                <w:rPr>
                  <w:rFonts w:hint="cs"/>
                  <w:b/>
                  <w:bCs/>
                  <w:noProof w:val="0"/>
                  <w:sz w:val="26"/>
                  <w:szCs w:val="26"/>
                  <w:rtl/>
                </w:rPr>
                <w:t xml:space="preserve">פלונית </w:t>
              </w:r>
              <w:r w:rsidR="0027277D">
                <w:rPr>
                  <w:b/>
                  <w:bCs/>
                  <w:noProof w:val="0"/>
                  <w:sz w:val="26"/>
                  <w:szCs w:val="26"/>
                  <w:rtl/>
                </w:rPr>
                <w:t xml:space="preserve">נ' </w:t>
              </w:r>
              <w:r w:rsidR="00F6623E">
                <w:rPr>
                  <w:rFonts w:hint="cs"/>
                  <w:b/>
                  <w:bCs/>
                  <w:noProof w:val="0"/>
                  <w:sz w:val="26"/>
                  <w:szCs w:val="26"/>
                  <w:rtl/>
                </w:rPr>
                <w:t>אלמוני</w:t>
              </w:r>
            </w:sdtContent>
          </w:sdt>
        </w:p>
        <w:p w:rsidR="00694556" w:rsidRPr="00957C90" w:rsidRDefault="00694556">
          <w:pPr>
            <w:rPr>
              <w:b/>
              <w:bCs/>
              <w:noProof w:val="0"/>
              <w:sz w:val="2"/>
              <w:szCs w:val="2"/>
              <w:rtl/>
            </w:rPr>
          </w:pPr>
        </w:p>
        <w:p w:rsidR="005075CF" w:rsidRDefault="005075CF" w:rsidP="00957C90">
          <w:pPr>
            <w:rPr>
              <w:b/>
              <w:bCs/>
              <w:noProof w:val="0"/>
              <w:sz w:val="26"/>
              <w:szCs w:val="26"/>
              <w:rtl/>
            </w:rPr>
          </w:pPr>
          <w:r>
            <w:rPr>
              <w:rFonts w:hint="cs"/>
              <w:b/>
              <w:bCs/>
              <w:noProof w:val="0"/>
              <w:sz w:val="26"/>
              <w:szCs w:val="26"/>
              <w:rtl/>
            </w:rPr>
            <w:t>תלה"מ 31387-01-21</w:t>
          </w:r>
        </w:p>
        <w:p w:rsidR="0043595F" w:rsidRDefault="005075CF" w:rsidP="005075CF">
          <w:pPr>
            <w:rPr>
              <w:b/>
              <w:bCs/>
              <w:noProof w:val="0"/>
              <w:sz w:val="26"/>
              <w:szCs w:val="26"/>
              <w:rtl/>
            </w:rPr>
          </w:pPr>
          <w:r>
            <w:rPr>
              <w:rFonts w:hint="cs"/>
              <w:b/>
              <w:bCs/>
              <w:noProof w:val="0"/>
              <w:sz w:val="26"/>
              <w:szCs w:val="26"/>
              <w:rtl/>
            </w:rPr>
            <w:t>תלה"מ 33813-07-21</w:t>
          </w:r>
          <w:r w:rsidR="00957C90"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E2776"/>
    <w:multiLevelType w:val="hybridMultilevel"/>
    <w:tmpl w:val="10C0FD4C"/>
    <w:lvl w:ilvl="0" w:tplc="04090011">
      <w:start w:val="1"/>
      <w:numFmt w:val="decimal"/>
      <w:lvlText w:val="%1)"/>
      <w:lvlJc w:val="left"/>
      <w:pPr>
        <w:ind w:left="720" w:right="2160" w:hanging="360"/>
      </w:pPr>
    </w:lvl>
    <w:lvl w:ilvl="1" w:tplc="04090019">
      <w:start w:val="1"/>
      <w:numFmt w:val="lowerLetter"/>
      <w:lvlText w:val="%2."/>
      <w:lvlJc w:val="left"/>
      <w:pPr>
        <w:ind w:left="1440" w:right="2880" w:hanging="360"/>
      </w:pPr>
    </w:lvl>
    <w:lvl w:ilvl="2" w:tplc="0409001B">
      <w:start w:val="1"/>
      <w:numFmt w:val="lowerRoman"/>
      <w:lvlText w:val="%3."/>
      <w:lvlJc w:val="right"/>
      <w:pPr>
        <w:ind w:left="2160" w:right="3600" w:hanging="180"/>
      </w:pPr>
    </w:lvl>
    <w:lvl w:ilvl="3" w:tplc="0409000F">
      <w:start w:val="1"/>
      <w:numFmt w:val="decimal"/>
      <w:lvlText w:val="%4."/>
      <w:lvlJc w:val="left"/>
      <w:pPr>
        <w:ind w:left="2880" w:right="4320" w:hanging="360"/>
      </w:pPr>
    </w:lvl>
    <w:lvl w:ilvl="4" w:tplc="04090019">
      <w:start w:val="1"/>
      <w:numFmt w:val="lowerLetter"/>
      <w:lvlText w:val="%5."/>
      <w:lvlJc w:val="left"/>
      <w:pPr>
        <w:ind w:left="3600" w:right="5040" w:hanging="360"/>
      </w:pPr>
    </w:lvl>
    <w:lvl w:ilvl="5" w:tplc="0409001B">
      <w:start w:val="1"/>
      <w:numFmt w:val="lowerRoman"/>
      <w:lvlText w:val="%6."/>
      <w:lvlJc w:val="right"/>
      <w:pPr>
        <w:ind w:left="4320" w:right="5760" w:hanging="180"/>
      </w:pPr>
    </w:lvl>
    <w:lvl w:ilvl="6" w:tplc="0409000F">
      <w:start w:val="1"/>
      <w:numFmt w:val="decimal"/>
      <w:lvlText w:val="%7."/>
      <w:lvlJc w:val="left"/>
      <w:pPr>
        <w:ind w:left="5040" w:right="6480" w:hanging="360"/>
      </w:pPr>
    </w:lvl>
    <w:lvl w:ilvl="7" w:tplc="04090019">
      <w:start w:val="1"/>
      <w:numFmt w:val="lowerLetter"/>
      <w:lvlText w:val="%8."/>
      <w:lvlJc w:val="left"/>
      <w:pPr>
        <w:ind w:left="5760" w:right="7200" w:hanging="360"/>
      </w:pPr>
    </w:lvl>
    <w:lvl w:ilvl="8" w:tplc="0409001B">
      <w:start w:val="1"/>
      <w:numFmt w:val="lowerRoman"/>
      <w:lvlText w:val="%9."/>
      <w:lvlJc w:val="right"/>
      <w:pPr>
        <w:ind w:left="6480" w:right="7920" w:hanging="180"/>
      </w:pPr>
    </w:lvl>
  </w:abstractNum>
  <w:abstractNum w:abstractNumId="1" w15:restartNumberingAfterBreak="0">
    <w:nsid w:val="6764387B"/>
    <w:multiLevelType w:val="hybridMultilevel"/>
    <w:tmpl w:val="EA4E57FC"/>
    <w:lvl w:ilvl="0" w:tplc="04090013">
      <w:start w:val="1"/>
      <w:numFmt w:val="hebrew1"/>
      <w:lvlText w:val="%1."/>
      <w:lvlJc w:val="center"/>
      <w:pPr>
        <w:ind w:left="720" w:right="1440" w:hanging="360"/>
      </w:pPr>
    </w:lvl>
    <w:lvl w:ilvl="1" w:tplc="04090019">
      <w:start w:val="1"/>
      <w:numFmt w:val="lowerLetter"/>
      <w:lvlText w:val="%2."/>
      <w:lvlJc w:val="left"/>
      <w:pPr>
        <w:ind w:left="1440" w:right="2160" w:hanging="360"/>
      </w:pPr>
    </w:lvl>
    <w:lvl w:ilvl="2" w:tplc="0409001B">
      <w:start w:val="1"/>
      <w:numFmt w:val="lowerRoman"/>
      <w:lvlText w:val="%3."/>
      <w:lvlJc w:val="right"/>
      <w:pPr>
        <w:ind w:left="2160" w:right="2880" w:hanging="180"/>
      </w:pPr>
    </w:lvl>
    <w:lvl w:ilvl="3" w:tplc="0409000F">
      <w:start w:val="1"/>
      <w:numFmt w:val="decimal"/>
      <w:lvlText w:val="%4."/>
      <w:lvlJc w:val="left"/>
      <w:pPr>
        <w:ind w:left="2880" w:right="3600" w:hanging="360"/>
      </w:pPr>
    </w:lvl>
    <w:lvl w:ilvl="4" w:tplc="04090019">
      <w:start w:val="1"/>
      <w:numFmt w:val="lowerLetter"/>
      <w:lvlText w:val="%5."/>
      <w:lvlJc w:val="left"/>
      <w:pPr>
        <w:ind w:left="3600" w:right="4320" w:hanging="360"/>
      </w:pPr>
    </w:lvl>
    <w:lvl w:ilvl="5" w:tplc="0409001B">
      <w:start w:val="1"/>
      <w:numFmt w:val="lowerRoman"/>
      <w:lvlText w:val="%6."/>
      <w:lvlJc w:val="right"/>
      <w:pPr>
        <w:ind w:left="4320" w:right="5040" w:hanging="180"/>
      </w:pPr>
    </w:lvl>
    <w:lvl w:ilvl="6" w:tplc="0409000F">
      <w:start w:val="1"/>
      <w:numFmt w:val="decimal"/>
      <w:lvlText w:val="%7."/>
      <w:lvlJc w:val="left"/>
      <w:pPr>
        <w:ind w:left="5040" w:right="5760" w:hanging="360"/>
      </w:pPr>
    </w:lvl>
    <w:lvl w:ilvl="7" w:tplc="04090019">
      <w:start w:val="1"/>
      <w:numFmt w:val="lowerLetter"/>
      <w:lvlText w:val="%8."/>
      <w:lvlJc w:val="left"/>
      <w:pPr>
        <w:ind w:left="5760" w:right="6480" w:hanging="360"/>
      </w:pPr>
    </w:lvl>
    <w:lvl w:ilvl="8" w:tplc="0409001B">
      <w:start w:val="1"/>
      <w:numFmt w:val="lowerRoman"/>
      <w:lvlText w:val="%9."/>
      <w:lvlJc w:val="right"/>
      <w:pPr>
        <w:ind w:left="6480" w:right="7200" w:hanging="180"/>
      </w:pPr>
    </w:lvl>
  </w:abstractNum>
  <w:abstractNum w:abstractNumId="2" w15:restartNumberingAfterBreak="0">
    <w:nsid w:val="7CA6429E"/>
    <w:multiLevelType w:val="hybridMultilevel"/>
    <w:tmpl w:val="16CCE9C0"/>
    <w:lvl w:ilvl="0" w:tplc="1BA2892E">
      <w:start w:val="1"/>
      <w:numFmt w:val="decimal"/>
      <w:lvlText w:val="%1."/>
      <w:lvlJc w:val="left"/>
      <w:pPr>
        <w:ind w:left="720" w:hanging="360"/>
      </w:pPr>
      <w:rPr>
        <w:b/>
        <w:bCs w:val="0"/>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564AB"/>
    <w:rsid w:val="000D4A02"/>
    <w:rsid w:val="001072A9"/>
    <w:rsid w:val="00111F7A"/>
    <w:rsid w:val="00121F97"/>
    <w:rsid w:val="001277D7"/>
    <w:rsid w:val="00132017"/>
    <w:rsid w:val="0014234E"/>
    <w:rsid w:val="00145A87"/>
    <w:rsid w:val="001C4003"/>
    <w:rsid w:val="001F5474"/>
    <w:rsid w:val="002352F7"/>
    <w:rsid w:val="0027277D"/>
    <w:rsid w:val="002E2062"/>
    <w:rsid w:val="002E55BE"/>
    <w:rsid w:val="00334470"/>
    <w:rsid w:val="00350711"/>
    <w:rsid w:val="0037345C"/>
    <w:rsid w:val="00381D3A"/>
    <w:rsid w:val="003823DA"/>
    <w:rsid w:val="003E7C74"/>
    <w:rsid w:val="0043595F"/>
    <w:rsid w:val="0047645A"/>
    <w:rsid w:val="004D49A3"/>
    <w:rsid w:val="004D50AC"/>
    <w:rsid w:val="004E6E3C"/>
    <w:rsid w:val="005075CF"/>
    <w:rsid w:val="005124F1"/>
    <w:rsid w:val="00515BD1"/>
    <w:rsid w:val="00530BAD"/>
    <w:rsid w:val="00541598"/>
    <w:rsid w:val="00547DB7"/>
    <w:rsid w:val="00567324"/>
    <w:rsid w:val="005768CE"/>
    <w:rsid w:val="005900B3"/>
    <w:rsid w:val="005B0F49"/>
    <w:rsid w:val="005C1498"/>
    <w:rsid w:val="005C7EC6"/>
    <w:rsid w:val="005D4BDB"/>
    <w:rsid w:val="00622BAA"/>
    <w:rsid w:val="00625C89"/>
    <w:rsid w:val="00633C4F"/>
    <w:rsid w:val="00671BD5"/>
    <w:rsid w:val="006805C1"/>
    <w:rsid w:val="006816EC"/>
    <w:rsid w:val="00694556"/>
    <w:rsid w:val="006E1A53"/>
    <w:rsid w:val="007056AA"/>
    <w:rsid w:val="00744F41"/>
    <w:rsid w:val="007A24FE"/>
    <w:rsid w:val="007A35AA"/>
    <w:rsid w:val="007F1048"/>
    <w:rsid w:val="007F63A7"/>
    <w:rsid w:val="00820005"/>
    <w:rsid w:val="00820E5D"/>
    <w:rsid w:val="00846D27"/>
    <w:rsid w:val="008610A7"/>
    <w:rsid w:val="008E1332"/>
    <w:rsid w:val="00903896"/>
    <w:rsid w:val="00923437"/>
    <w:rsid w:val="00927813"/>
    <w:rsid w:val="00944D13"/>
    <w:rsid w:val="00957C90"/>
    <w:rsid w:val="009C358E"/>
    <w:rsid w:val="009E0263"/>
    <w:rsid w:val="009F5624"/>
    <w:rsid w:val="00A267CF"/>
    <w:rsid w:val="00A43458"/>
    <w:rsid w:val="00A46536"/>
    <w:rsid w:val="00A91400"/>
    <w:rsid w:val="00AC1664"/>
    <w:rsid w:val="00AC4E19"/>
    <w:rsid w:val="00AF1ED6"/>
    <w:rsid w:val="00B32C61"/>
    <w:rsid w:val="00B368FE"/>
    <w:rsid w:val="00B37053"/>
    <w:rsid w:val="00B454AD"/>
    <w:rsid w:val="00B80CBD"/>
    <w:rsid w:val="00B81E92"/>
    <w:rsid w:val="00BC3369"/>
    <w:rsid w:val="00BF6EA5"/>
    <w:rsid w:val="00BF77EE"/>
    <w:rsid w:val="00C32E0F"/>
    <w:rsid w:val="00C42BF9"/>
    <w:rsid w:val="00C83E56"/>
    <w:rsid w:val="00CB79DB"/>
    <w:rsid w:val="00CC63CE"/>
    <w:rsid w:val="00D118F5"/>
    <w:rsid w:val="00D319B3"/>
    <w:rsid w:val="00D36A71"/>
    <w:rsid w:val="00D53924"/>
    <w:rsid w:val="00D60849"/>
    <w:rsid w:val="00D96D8C"/>
    <w:rsid w:val="00DA755B"/>
    <w:rsid w:val="00DD337E"/>
    <w:rsid w:val="00E00B6F"/>
    <w:rsid w:val="00E335A0"/>
    <w:rsid w:val="00E54642"/>
    <w:rsid w:val="00E97908"/>
    <w:rsid w:val="00EF3ED0"/>
    <w:rsid w:val="00F17E56"/>
    <w:rsid w:val="00F6623E"/>
    <w:rsid w:val="00F812AB"/>
    <w:rsid w:val="00FF64E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styleId="Hyperlink">
    <w:name w:val="Hyperlink"/>
    <w:semiHidden/>
    <w:unhideWhenUsed/>
    <w:rsid w:val="005075CF"/>
    <w:rPr>
      <w:rFonts w:ascii="Times New Roman" w:hAnsi="Times New Roman" w:cs="Times New Roman" w:hint="default"/>
      <w:color w:val="0000FF"/>
      <w:u w:val="single"/>
    </w:rPr>
  </w:style>
  <w:style w:type="paragraph" w:styleId="ad">
    <w:name w:val="List Paragraph"/>
    <w:basedOn w:val="a"/>
    <w:uiPriority w:val="34"/>
    <w:qFormat/>
    <w:rsid w:val="005075CF"/>
    <w:pPr>
      <w:ind w:left="720"/>
      <w:contextualSpacing/>
    </w:pPr>
  </w:style>
  <w:style w:type="paragraph" w:customStyle="1" w:styleId="10">
    <w:name w:val="פיסקת רשימה1"/>
    <w:basedOn w:val="a"/>
    <w:qFormat/>
    <w:rsid w:val="005075CF"/>
    <w:pPr>
      <w:ind w:left="720"/>
      <w:contextualSpacing/>
    </w:pPr>
    <w:rPr>
      <w:rFonts w:eastAsia="Calibri"/>
    </w:rPr>
  </w:style>
  <w:style w:type="paragraph" w:customStyle="1" w:styleId="David">
    <w:name w:val="סגנון (עברית ושפות אחרות) David מיושר לשני הצדדים מרווח בין שורות..."/>
    <w:basedOn w:val="a"/>
    <w:rsid w:val="005075CF"/>
    <w:pPr>
      <w:spacing w:line="360" w:lineRule="auto"/>
      <w:jc w:val="both"/>
    </w:pPr>
    <w:rPr>
      <w:noProof w:val="0"/>
    </w:rPr>
  </w:style>
  <w:style w:type="character" w:customStyle="1" w:styleId="default">
    <w:name w:val="default"/>
    <w:rsid w:val="005075CF"/>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220911">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law/72402/9.b" TargetMode="External"/><Relationship Id="rId13" Type="http://schemas.openxmlformats.org/officeDocument/2006/relationships/hyperlink" Target="http://www.nevo.co.il/case/17916937"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evo.co.il/law/72994"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case/2469839" TargetMode="External"/><Relationship Id="rId5" Type="http://schemas.openxmlformats.org/officeDocument/2006/relationships/webSettings" Target="webSettings.xml"/><Relationship Id="rId15" Type="http://schemas.openxmlformats.org/officeDocument/2006/relationships/image" Target="media/image1.jpg"/><Relationship Id="rId10" Type="http://schemas.openxmlformats.org/officeDocument/2006/relationships/hyperlink" Target="http://www.nevo.co.il/case/17930059"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www.nevo.co.il/law/72402" TargetMode="External"/><Relationship Id="rId14" Type="http://schemas.openxmlformats.org/officeDocument/2006/relationships/hyperlink" Target="http://www.nevo.co.il/case/20839564"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447C84"/>
    <w:rsid w:val="00B40AEB"/>
    <w:rsid w:val="00B65812"/>
    <w:rsid w:val="00B94153"/>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A7F31"/>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33</Pages>
  <Words>4549</Words>
  <Characters>22750</Characters>
  <Application>Microsoft Office Word</Application>
  <DocSecurity>0</DocSecurity>
  <Lines>189</Lines>
  <Paragraphs>54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27245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2024-10-09T05:08:00Z</dcterms:created>
  <dcterms:modified xsi:type="dcterms:W3CDTF">2024-10-09T05:08:00Z</dcterms:modified>
</cp:coreProperties>
</file>